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0C1A79" w14:textId="77777777" w:rsidR="00EA58FA" w:rsidRPr="00EA58FA" w:rsidRDefault="00EA58FA" w:rsidP="00EA58FA">
      <w:pPr>
        <w:jc w:val="both"/>
        <w:rPr>
          <w:rFonts w:ascii="Arial" w:hAnsi="Arial" w:cs="Arial"/>
          <w:b/>
          <w:bCs/>
          <w:sz w:val="22"/>
          <w:szCs w:val="22"/>
        </w:rPr>
      </w:pPr>
    </w:p>
    <w:p w14:paraId="3D17490D" w14:textId="5D563A6C" w:rsidR="00EA58FA" w:rsidRPr="00EA58FA" w:rsidRDefault="00EA58FA" w:rsidP="00EA58FA">
      <w:pPr>
        <w:jc w:val="both"/>
        <w:rPr>
          <w:rFonts w:ascii="Arial" w:hAnsi="Arial" w:cs="Arial"/>
          <w:sz w:val="22"/>
          <w:szCs w:val="22"/>
        </w:rPr>
      </w:pPr>
      <w:r w:rsidRPr="00EA58FA">
        <w:rPr>
          <w:rFonts w:ascii="Arial" w:hAnsi="Arial" w:cs="Arial"/>
          <w:b/>
          <w:bCs/>
          <w:sz w:val="22"/>
          <w:szCs w:val="22"/>
        </w:rPr>
        <w:t>MODULO 2</w:t>
      </w:r>
    </w:p>
    <w:p w14:paraId="415A5EAD"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LA COMPETENCIA Y EL REPARTO</w:t>
      </w:r>
    </w:p>
    <w:p w14:paraId="42EEDC5A" w14:textId="77777777" w:rsidR="00EA58FA" w:rsidRPr="00EA58FA" w:rsidRDefault="00EA58FA" w:rsidP="00EA58FA">
      <w:pPr>
        <w:jc w:val="both"/>
        <w:rPr>
          <w:rFonts w:ascii="Arial" w:hAnsi="Arial" w:cs="Arial"/>
          <w:sz w:val="22"/>
          <w:szCs w:val="22"/>
        </w:rPr>
      </w:pPr>
      <w:r w:rsidRPr="00EA58FA">
        <w:rPr>
          <w:rFonts w:ascii="Arial" w:hAnsi="Arial" w:cs="Arial"/>
          <w:i/>
          <w:iCs/>
          <w:sz w:val="22"/>
          <w:szCs w:val="22"/>
        </w:rPr>
        <w:t>"Buscando al Juez Correcto"</w:t>
      </w:r>
    </w:p>
    <w:p w14:paraId="3F4C86AB" w14:textId="77777777" w:rsidR="00EA58FA" w:rsidRPr="00EA58FA" w:rsidRDefault="00EA58FA" w:rsidP="00EA58FA">
      <w:pPr>
        <w:jc w:val="both"/>
        <w:rPr>
          <w:rFonts w:ascii="Arial" w:hAnsi="Arial" w:cs="Arial"/>
          <w:b/>
          <w:bCs/>
          <w:sz w:val="22"/>
          <w:szCs w:val="22"/>
        </w:rPr>
      </w:pPr>
    </w:p>
    <w:p w14:paraId="608849CD" w14:textId="7B607A9B" w:rsidR="00EA58FA" w:rsidRPr="00EA58FA" w:rsidRDefault="00EA58FA" w:rsidP="00EA58FA">
      <w:pPr>
        <w:jc w:val="both"/>
        <w:rPr>
          <w:rFonts w:ascii="Arial" w:hAnsi="Arial" w:cs="Arial"/>
          <w:b/>
          <w:bCs/>
          <w:sz w:val="22"/>
          <w:szCs w:val="22"/>
        </w:rPr>
      </w:pPr>
      <w:r w:rsidRPr="00EA58FA">
        <w:rPr>
          <w:rFonts w:ascii="Arial" w:hAnsi="Arial" w:cs="Arial"/>
          <w:b/>
          <w:bCs/>
          <w:sz w:val="22"/>
          <w:szCs w:val="22"/>
        </w:rPr>
        <w:t>CAPSULA 2.1</w:t>
      </w:r>
    </w:p>
    <w:p w14:paraId="678426E5" w14:textId="77777777" w:rsidR="00EA58FA" w:rsidRPr="00EA58FA" w:rsidRDefault="00EA58FA" w:rsidP="00EA58FA">
      <w:pPr>
        <w:jc w:val="both"/>
        <w:rPr>
          <w:rFonts w:ascii="Arial" w:hAnsi="Arial" w:cs="Arial"/>
          <w:b/>
          <w:bCs/>
          <w:sz w:val="22"/>
          <w:szCs w:val="22"/>
        </w:rPr>
      </w:pPr>
      <w:r w:rsidRPr="00EA58FA">
        <w:rPr>
          <w:rFonts w:ascii="Arial" w:hAnsi="Arial" w:cs="Arial"/>
          <w:b/>
          <w:bCs/>
          <w:sz w:val="22"/>
          <w:szCs w:val="22"/>
        </w:rPr>
        <w:t>JURISDICCIÓN VS. COMPETENCIA: LA MÁXIMA CLÁSICA</w:t>
      </w:r>
    </w:p>
    <w:p w14:paraId="53D50ED5"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u w:val="single"/>
        </w:rPr>
        <w:t>2.1.1 La Máxima que Todo Procesalista Debe Conocer</w:t>
      </w:r>
    </w:p>
    <w:p w14:paraId="2FA6F3F2"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Existe una frase que se ha convertido en piedra angular del Derecho Procesal en Colombia y en toda Iberoamérica:</w:t>
      </w:r>
    </w:p>
    <w:tbl>
      <w:tblPr>
        <w:tblW w:w="0" w:type="auto"/>
        <w:tblCellMar>
          <w:top w:w="15" w:type="dxa"/>
          <w:left w:w="15" w:type="dxa"/>
          <w:bottom w:w="15" w:type="dxa"/>
          <w:right w:w="15" w:type="dxa"/>
        </w:tblCellMar>
        <w:tblLook w:val="04A0" w:firstRow="1" w:lastRow="0" w:firstColumn="1" w:lastColumn="0" w:noHBand="0" w:noVBand="1"/>
      </w:tblPr>
      <w:tblGrid>
        <w:gridCol w:w="8103"/>
      </w:tblGrid>
      <w:tr w:rsidR="00EA58FA" w:rsidRPr="00EA58FA" w14:paraId="2F3AA69C"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BF4FB"/>
            <w:tcMar>
              <w:top w:w="140" w:type="dxa"/>
              <w:left w:w="200" w:type="dxa"/>
              <w:bottom w:w="140" w:type="dxa"/>
              <w:right w:w="200" w:type="dxa"/>
            </w:tcMar>
            <w:hideMark/>
          </w:tcPr>
          <w:p w14:paraId="32E95A57" w14:textId="77777777" w:rsidR="00EA58FA" w:rsidRPr="00EA58FA" w:rsidRDefault="00EA58FA" w:rsidP="00EA58FA">
            <w:pPr>
              <w:jc w:val="both"/>
              <w:rPr>
                <w:rFonts w:ascii="Arial" w:hAnsi="Arial" w:cs="Arial"/>
                <w:sz w:val="22"/>
                <w:szCs w:val="22"/>
              </w:rPr>
            </w:pPr>
            <w:r w:rsidRPr="00EA58FA">
              <w:rPr>
                <w:rFonts w:ascii="Arial" w:hAnsi="Arial" w:cs="Arial"/>
                <w:b/>
                <w:bCs/>
                <w:i/>
                <w:iCs/>
                <w:sz w:val="22"/>
                <w:szCs w:val="22"/>
              </w:rPr>
              <w:t>"Todos los jueces tienen jurisdicción, pero no todos tienen competencia"</w:t>
            </w:r>
          </w:p>
          <w:p w14:paraId="3D3B83C3"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Principio clásico del Derecho Procesal. Recogido en el Art. 16 y ss. del CGP</w:t>
            </w:r>
          </w:p>
        </w:tc>
      </w:tr>
    </w:tbl>
    <w:p w14:paraId="78166F2F"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Para entender esta máxima, debemos recordar la distinción del Módulo 1 y profundizarla:</w:t>
      </w:r>
    </w:p>
    <w:p w14:paraId="0FB446FA"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u w:val="single"/>
        </w:rPr>
        <w:t>2.1.2 Jurisdicción: El Genero</w:t>
      </w:r>
    </w:p>
    <w:p w14:paraId="1213A3B0"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La JURISDICCIÓN es la potestad publica de administrar justicia. Es una función del Estado, no de los jueces individualmente considerados. Todos los jueces de la República de Colombia -civiles, penales, laborales, administrativos- ejercen jurisdicción en nombre del Estado.</w:t>
      </w:r>
    </w:p>
    <w:p w14:paraId="167B59A0"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Piensen en la jurisdicción como la 'licencia para conducir' del Estado: les permite a sus jueces 'circular' por el territorio de la administración de justicia. Pero tener licencia no significa que uno pueda conducir cualquier vehículo en cualquier via.</w:t>
      </w:r>
    </w:p>
    <w:p w14:paraId="152A1BEE"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u w:val="single"/>
        </w:rPr>
        <w:t>2.1.3 Competencia: La Especie</w:t>
      </w:r>
    </w:p>
    <w:p w14:paraId="0B7E33E9"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La COMPETENCIA es la medida, el límite y la distribución de esa jurisdicción. Es el conjunto de asuntos que la ley le asigna específicamente a cada juez para que los conozca y decida. Es la 'tajada' especifica que le corresponde a cada juez de la torta total de la administración de justicia.</w:t>
      </w:r>
    </w:p>
    <w:p w14:paraId="039A18D6"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Un Juez Civil Municipal de Bogotá tiene jurisdicción (puede administrar justicia en nombre del Estado), pero su competencia está limitada: solo puede conocer procesos de minima y menor cuantia en materia civil. Si le llega una demanda de mayor cuantia, debe declinar la competencia aunque tenga jurisdicción.</w:t>
      </w:r>
    </w:p>
    <w:p w14:paraId="49B77D25" w14:textId="77777777" w:rsidR="00EA58FA" w:rsidRPr="00EA58FA" w:rsidRDefault="00EA58FA" w:rsidP="00EA58FA">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2213"/>
        <w:gridCol w:w="2976"/>
        <w:gridCol w:w="3639"/>
      </w:tblGrid>
      <w:tr w:rsidR="00EA58FA" w:rsidRPr="00EA58FA" w14:paraId="1EE23A0D"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1F48BF26"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CRITERIO</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44D9CBF4"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JURISDICCIÓN</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72721D7D"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COMPETENCIA</w:t>
            </w:r>
          </w:p>
        </w:tc>
      </w:tr>
      <w:tr w:rsidR="00EA58FA" w:rsidRPr="00EA58FA" w14:paraId="5ACB7F40"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7D9BF17"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Naturaleza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784C24E"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Poder soberano del Estado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B1EE1DC"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Medida legal de ese poder asignada a cada juez</w:t>
            </w:r>
          </w:p>
        </w:tc>
      </w:tr>
      <w:tr w:rsidR="00EA58FA" w:rsidRPr="00EA58FA" w14:paraId="4CC62B84"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4BDD9B48"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Titular</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F9AFB9E"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El Estado colombiano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47B38370"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Cada juez individualmente considerado</w:t>
            </w:r>
          </w:p>
        </w:tc>
      </w:tr>
      <w:tr w:rsidR="00EA58FA" w:rsidRPr="00EA58FA" w14:paraId="543144FC"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98039E6"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Alcance</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73A0950"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General y universal</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8843D53"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Especifica y limitada por factores legales</w:t>
            </w:r>
          </w:p>
        </w:tc>
      </w:tr>
      <w:tr w:rsidR="00EA58FA" w:rsidRPr="00EA58FA" w14:paraId="0AF2E0F8"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1305B5B"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Fuente</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372D6370"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Constitución Política (Arts. 116, 228)</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634C8E10"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Ley procesal: Arts. 16 a 30 CGP</w:t>
            </w:r>
          </w:p>
        </w:tc>
      </w:tr>
      <w:tr w:rsidR="00EA58FA" w:rsidRPr="00EA58FA" w14:paraId="5DC9F5D4"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2AD45D0"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Efecto de carecer de ella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C5C0D7C"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Inexistencia del proceso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27E2E7B"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Nulidad insanable (Art. 133 núm. 1 CGP)</w:t>
            </w:r>
          </w:p>
        </w:tc>
      </w:tr>
      <w:tr w:rsidR="00EA58FA" w:rsidRPr="00EA58FA" w14:paraId="1A836D4C"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27E8BB5B"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Puede renunciarse?</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266856C5"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No, es irrenunciable</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BD58CB3"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Si, en el factor territorial (prorrogación)</w:t>
            </w:r>
          </w:p>
        </w:tc>
      </w:tr>
    </w:tbl>
    <w:p w14:paraId="3F04ADEA" w14:textId="77777777" w:rsidR="00EA58FA" w:rsidRPr="00EA58FA" w:rsidRDefault="00EA58FA" w:rsidP="00EA58FA">
      <w:pPr>
        <w:jc w:val="both"/>
        <w:rPr>
          <w:rFonts w:ascii="Arial" w:hAnsi="Arial" w:cs="Arial"/>
          <w:sz w:val="22"/>
          <w:szCs w:val="22"/>
        </w:rPr>
      </w:pPr>
    </w:p>
    <w:p w14:paraId="3190B16A"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u w:val="single"/>
        </w:rPr>
        <w:t>2.1.4 Consecuencias de la Falta de Competencia</w:t>
      </w:r>
    </w:p>
    <w:p w14:paraId="16F30D52"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La falta de competencia en el proceso civil colombiano tiene una consecuencia drástica: el articulo 133 numeral 1 del CGP la consagra como causal de NULIDAD INSANABLE del proceso. Esto significa que:</w:t>
      </w:r>
    </w:p>
    <w:p w14:paraId="0552C627" w14:textId="77777777" w:rsidR="00EA58FA" w:rsidRPr="00EA58FA" w:rsidRDefault="00EA58FA" w:rsidP="00EA58FA">
      <w:pPr>
        <w:numPr>
          <w:ilvl w:val="0"/>
          <w:numId w:val="11"/>
        </w:numPr>
        <w:spacing w:after="160"/>
        <w:jc w:val="both"/>
        <w:rPr>
          <w:rFonts w:ascii="Arial" w:hAnsi="Arial" w:cs="Arial"/>
          <w:sz w:val="22"/>
          <w:szCs w:val="22"/>
        </w:rPr>
      </w:pPr>
      <w:r w:rsidRPr="00EA58FA">
        <w:rPr>
          <w:rFonts w:ascii="Arial" w:hAnsi="Arial" w:cs="Arial"/>
          <w:sz w:val="22"/>
          <w:szCs w:val="22"/>
        </w:rPr>
        <w:t>El juez incompetente debe declarar su propia incompetencia en cualquier estado del proceso.</w:t>
      </w:r>
    </w:p>
    <w:p w14:paraId="538884F5" w14:textId="77777777" w:rsidR="00EA58FA" w:rsidRPr="00EA58FA" w:rsidRDefault="00EA58FA" w:rsidP="00EA58FA">
      <w:pPr>
        <w:numPr>
          <w:ilvl w:val="0"/>
          <w:numId w:val="11"/>
        </w:numPr>
        <w:spacing w:after="160"/>
        <w:jc w:val="both"/>
        <w:rPr>
          <w:rFonts w:ascii="Arial" w:hAnsi="Arial" w:cs="Arial"/>
          <w:sz w:val="22"/>
          <w:szCs w:val="22"/>
        </w:rPr>
      </w:pPr>
      <w:r w:rsidRPr="00EA58FA">
        <w:rPr>
          <w:rFonts w:ascii="Arial" w:hAnsi="Arial" w:cs="Arial"/>
          <w:sz w:val="22"/>
          <w:szCs w:val="22"/>
        </w:rPr>
        <w:t>Cualquiera de las partes puede alegar la incompetencia como excepción previa (Art. 100 núm. 1 CGP).</w:t>
      </w:r>
    </w:p>
    <w:p w14:paraId="37618D16" w14:textId="77777777" w:rsidR="00EA58FA" w:rsidRPr="00EA58FA" w:rsidRDefault="00EA58FA" w:rsidP="00EA58FA">
      <w:pPr>
        <w:numPr>
          <w:ilvl w:val="0"/>
          <w:numId w:val="11"/>
        </w:numPr>
        <w:spacing w:after="160"/>
        <w:jc w:val="both"/>
        <w:rPr>
          <w:rFonts w:ascii="Arial" w:hAnsi="Arial" w:cs="Arial"/>
          <w:sz w:val="22"/>
          <w:szCs w:val="22"/>
        </w:rPr>
      </w:pPr>
      <w:r w:rsidRPr="00EA58FA">
        <w:rPr>
          <w:rFonts w:ascii="Arial" w:hAnsi="Arial" w:cs="Arial"/>
          <w:sz w:val="22"/>
          <w:szCs w:val="22"/>
        </w:rPr>
        <w:t>El juez superior puede decretarla de oficio en segunda instancia.</w:t>
      </w:r>
    </w:p>
    <w:p w14:paraId="346E55EA" w14:textId="77777777" w:rsidR="00EA58FA" w:rsidRPr="00EA58FA" w:rsidRDefault="00EA58FA" w:rsidP="00EA58FA">
      <w:pPr>
        <w:numPr>
          <w:ilvl w:val="0"/>
          <w:numId w:val="11"/>
        </w:numPr>
        <w:spacing w:after="160"/>
        <w:jc w:val="both"/>
        <w:rPr>
          <w:rFonts w:ascii="Arial" w:hAnsi="Arial" w:cs="Arial"/>
          <w:sz w:val="22"/>
          <w:szCs w:val="22"/>
        </w:rPr>
      </w:pPr>
      <w:r w:rsidRPr="00EA58FA">
        <w:rPr>
          <w:rFonts w:ascii="Arial" w:hAnsi="Arial" w:cs="Arial"/>
          <w:sz w:val="22"/>
          <w:szCs w:val="22"/>
        </w:rPr>
        <w:t>La nulidad por falta de competencia no puede sanearse con el consentimiento de las partes (a diferencia de otros vicios procesales).</w:t>
      </w:r>
    </w:p>
    <w:p w14:paraId="07E2D272"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u w:val="single"/>
        </w:rPr>
        <w:t>2.1.5 Los Cuatro Factores de Competencia en el CGP</w:t>
      </w:r>
    </w:p>
    <w:p w14:paraId="23B00A20"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El Código General del Proceso organiza la competencia a través de cuatro factores que deben analizarse de manera conjunta para determinar el juez correcto:</w:t>
      </w: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EA58FA" w:rsidRPr="00EA58FA" w14:paraId="659CB854"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D0E8F7"/>
            <w:tcMar>
              <w:top w:w="140" w:type="dxa"/>
              <w:left w:w="200" w:type="dxa"/>
              <w:bottom w:w="140" w:type="dxa"/>
              <w:right w:w="200" w:type="dxa"/>
            </w:tcMar>
            <w:hideMark/>
          </w:tcPr>
          <w:p w14:paraId="338135A2"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LOS CUATRO FACTORES DE COMPETENCIA (Arts. 16-30 CGP)</w:t>
            </w:r>
          </w:p>
          <w:p w14:paraId="7EF350AE"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 xml:space="preserve">1. FACTOR OBJETIVO (Cuantia y Naturaleza): </w:t>
            </w:r>
            <w:r w:rsidRPr="00EA58FA">
              <w:rPr>
                <w:rFonts w:ascii="Arial" w:hAnsi="Arial" w:cs="Arial"/>
                <w:sz w:val="22"/>
                <w:szCs w:val="22"/>
              </w:rPr>
              <w:t>Determina si el asunto le corresponde al Juzgado Municipal o del Circuito, según el valor de las pretensiones o la materia especifica.</w:t>
            </w:r>
          </w:p>
          <w:p w14:paraId="576B1254"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 xml:space="preserve">2. FACTOR SUBJETIVO: </w:t>
            </w:r>
            <w:r w:rsidRPr="00EA58FA">
              <w:rPr>
                <w:rFonts w:ascii="Arial" w:hAnsi="Arial" w:cs="Arial"/>
                <w:sz w:val="22"/>
                <w:szCs w:val="22"/>
              </w:rPr>
              <w:t>Evalúa si la calidad especial de alguna de las partes (ej. un embajador, un Estado extranjero) altera la competencia ordinaria.</w:t>
            </w:r>
          </w:p>
          <w:p w14:paraId="41AB08BE"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 xml:space="preserve">3. FACTOR TERRITORIAL (El Fuero): </w:t>
            </w:r>
            <w:r w:rsidRPr="00EA58FA">
              <w:rPr>
                <w:rFonts w:ascii="Arial" w:hAnsi="Arial" w:cs="Arial"/>
                <w:sz w:val="22"/>
                <w:szCs w:val="22"/>
              </w:rPr>
              <w:t>Determina en que ciudad o municipio debe presentarse la demanda.</w:t>
            </w:r>
          </w:p>
          <w:p w14:paraId="597B2DE6"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 xml:space="preserve">4. FACTOR FUNCIONAL (Grado): </w:t>
            </w:r>
            <w:r w:rsidRPr="00EA58FA">
              <w:rPr>
                <w:rFonts w:ascii="Arial" w:hAnsi="Arial" w:cs="Arial"/>
                <w:sz w:val="22"/>
                <w:szCs w:val="22"/>
              </w:rPr>
              <w:t>Determina en que instancia del proceso (primera, segunda, casación) se encuentra el asunto y quien es el juez de cada grado.</w:t>
            </w:r>
          </w:p>
        </w:tc>
      </w:tr>
    </w:tbl>
    <w:p w14:paraId="48585E4F" w14:textId="77777777" w:rsidR="00EA58FA" w:rsidRPr="00EA58FA" w:rsidRDefault="00EA58FA" w:rsidP="00EA58FA">
      <w:pPr>
        <w:jc w:val="both"/>
        <w:rPr>
          <w:rFonts w:ascii="Arial" w:hAnsi="Arial" w:cs="Arial"/>
          <w:sz w:val="22"/>
          <w:szCs w:val="22"/>
        </w:rPr>
      </w:pPr>
    </w:p>
    <w:p w14:paraId="0126D6D8" w14:textId="77777777" w:rsidR="00EA58FA" w:rsidRPr="00EA58FA" w:rsidRDefault="00EA58FA" w:rsidP="00EA58FA">
      <w:pPr>
        <w:jc w:val="both"/>
        <w:rPr>
          <w:rFonts w:ascii="Arial" w:hAnsi="Arial" w:cs="Arial"/>
          <w:b/>
          <w:bCs/>
          <w:sz w:val="22"/>
          <w:szCs w:val="22"/>
        </w:rPr>
      </w:pPr>
      <w:r w:rsidRPr="00EA58FA">
        <w:rPr>
          <w:rFonts w:ascii="Arial" w:hAnsi="Arial" w:cs="Arial"/>
          <w:b/>
          <w:bCs/>
          <w:sz w:val="22"/>
          <w:szCs w:val="22"/>
        </w:rPr>
        <w:t>CAPSULA 2.2</w:t>
      </w:r>
    </w:p>
    <w:p w14:paraId="4A0CBD49" w14:textId="77777777" w:rsidR="00EA58FA" w:rsidRPr="00EA58FA" w:rsidRDefault="00EA58FA" w:rsidP="00EA58FA">
      <w:pPr>
        <w:jc w:val="both"/>
        <w:rPr>
          <w:rFonts w:ascii="Arial" w:hAnsi="Arial" w:cs="Arial"/>
          <w:b/>
          <w:bCs/>
          <w:sz w:val="22"/>
          <w:szCs w:val="22"/>
        </w:rPr>
      </w:pPr>
      <w:r w:rsidRPr="00EA58FA">
        <w:rPr>
          <w:rFonts w:ascii="Arial" w:hAnsi="Arial" w:cs="Arial"/>
          <w:b/>
          <w:bCs/>
          <w:sz w:val="22"/>
          <w:szCs w:val="22"/>
        </w:rPr>
        <w:t>FACTOR OBJETIVO: CUANTIA Y NATURALEZA DEL ASUNTO</w:t>
      </w:r>
    </w:p>
    <w:p w14:paraId="65C688CA"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u w:val="single"/>
        </w:rPr>
        <w:t>2.2.1 Que es el Factor Objetivo?</w:t>
      </w:r>
    </w:p>
    <w:p w14:paraId="0C7A8893"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El factor objetivo determina la competencia en razon de la materia o del valor económico del proceso. Es el primer filtro que debe aplicarse para saber si el asunto le corresponde a un Juzgado Civil Municipal o a un Juzgado Civil del Circuito.</w:t>
      </w:r>
    </w:p>
    <w:p w14:paraId="53D6250D"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El artículo 26 del CGP establece que la competencia por razon de la cuantia se determina según el valor de las pretensiones al momento de la presentación de la demanda, sin tomar en cuenta los frutos, intereses, multas o perjuicios que se causen con posterioridad.</w:t>
      </w:r>
    </w:p>
    <w:p w14:paraId="59583FA9"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u w:val="single"/>
        </w:rPr>
        <w:t>2.2.2 Las Tres Categorías de Cuantia</w:t>
      </w:r>
    </w:p>
    <w:p w14:paraId="298F0B5D"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El artículo 26 del CGP, en concordancia con los Acuerdos del Consejo Superior de la Judicatura que actualizan los valores periódicamente, establece tres categorías de cuantia basadas en el Salario Minimo Legal Mensual Vigente (SMLMV):</w:t>
      </w:r>
    </w:p>
    <w:p w14:paraId="6FB3C7DF" w14:textId="77777777" w:rsidR="00EA58FA" w:rsidRPr="00EA58FA" w:rsidRDefault="00EA58FA" w:rsidP="00EA58FA">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EA58FA" w:rsidRPr="00EA58FA" w14:paraId="30D13FCA"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3CD"/>
            <w:tcMar>
              <w:top w:w="140" w:type="dxa"/>
              <w:left w:w="200" w:type="dxa"/>
              <w:bottom w:w="140" w:type="dxa"/>
              <w:right w:w="200" w:type="dxa"/>
            </w:tcMar>
            <w:hideMark/>
          </w:tcPr>
          <w:p w14:paraId="5F07B517"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TABLA DE CUANTÍAS - COMPETENCIA CIVIL (Art. 26 CGP - Valores en SMLMV)</w:t>
            </w:r>
          </w:p>
          <w:tbl>
            <w:tblPr>
              <w:tblW w:w="0" w:type="auto"/>
              <w:tblCellMar>
                <w:top w:w="15" w:type="dxa"/>
                <w:left w:w="15" w:type="dxa"/>
                <w:bottom w:w="15" w:type="dxa"/>
                <w:right w:w="15" w:type="dxa"/>
              </w:tblCellMar>
              <w:tblLook w:val="04A0" w:firstRow="1" w:lastRow="0" w:firstColumn="1" w:lastColumn="0" w:noHBand="0" w:noVBand="1"/>
            </w:tblPr>
            <w:tblGrid>
              <w:gridCol w:w="1707"/>
              <w:gridCol w:w="2305"/>
              <w:gridCol w:w="2212"/>
              <w:gridCol w:w="2194"/>
            </w:tblGrid>
            <w:tr w:rsidR="00EA58FA" w:rsidRPr="00EA58FA" w14:paraId="13B41E54"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45BB0F98"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CATEGORÍA</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345204B3"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VALOR DE LAS PRETENSIONES</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498B0FA2"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JUEZ COMPETENTE</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76E39410"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RECURSO DE APELACIÓN</w:t>
                  </w:r>
                </w:p>
              </w:tc>
            </w:tr>
            <w:tr w:rsidR="00EA58FA" w:rsidRPr="00EA58FA" w14:paraId="4196B074"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FFC415F"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lastRenderedPageBreak/>
                    <w:t>MINIMA CUANTIA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B64D6F2"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Hasta 40 SMLMV</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696B817"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Juzgado Civil Municipal (</w:t>
                  </w:r>
                  <w:proofErr w:type="spellStart"/>
                  <w:r w:rsidRPr="00EA58FA">
                    <w:rPr>
                      <w:rFonts w:ascii="Arial" w:hAnsi="Arial" w:cs="Arial"/>
                      <w:sz w:val="22"/>
                      <w:szCs w:val="22"/>
                    </w:rPr>
                    <w:t>1a</w:t>
                  </w:r>
                  <w:proofErr w:type="spellEnd"/>
                  <w:r w:rsidRPr="00EA58FA">
                    <w:rPr>
                      <w:rFonts w:ascii="Arial" w:hAnsi="Arial" w:cs="Arial"/>
                      <w:sz w:val="22"/>
                      <w:szCs w:val="22"/>
                    </w:rPr>
                    <w:t xml:space="preserve"> instancia)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F210A58"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Juzgado Civil del Circuito (</w:t>
                  </w:r>
                  <w:proofErr w:type="spellStart"/>
                  <w:r w:rsidRPr="00EA58FA">
                    <w:rPr>
                      <w:rFonts w:ascii="Arial" w:hAnsi="Arial" w:cs="Arial"/>
                      <w:sz w:val="22"/>
                      <w:szCs w:val="22"/>
                    </w:rPr>
                    <w:t>2a</w:t>
                  </w:r>
                  <w:proofErr w:type="spellEnd"/>
                  <w:r w:rsidRPr="00EA58FA">
                    <w:rPr>
                      <w:rFonts w:ascii="Arial" w:hAnsi="Arial" w:cs="Arial"/>
                      <w:sz w:val="22"/>
                      <w:szCs w:val="22"/>
                    </w:rPr>
                    <w:t xml:space="preserve"> instancia)</w:t>
                  </w:r>
                </w:p>
              </w:tc>
            </w:tr>
            <w:tr w:rsidR="00EA58FA" w:rsidRPr="00EA58FA" w14:paraId="1A7B4775"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4CFC2DDA"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MENOR CUANTIA</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177EAA0"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De 40 a 150 SMLMV</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7070BB36"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Juzgado Civil Municipal (</w:t>
                  </w:r>
                  <w:proofErr w:type="spellStart"/>
                  <w:r w:rsidRPr="00EA58FA">
                    <w:rPr>
                      <w:rFonts w:ascii="Arial" w:hAnsi="Arial" w:cs="Arial"/>
                      <w:sz w:val="22"/>
                      <w:szCs w:val="22"/>
                    </w:rPr>
                    <w:t>1a</w:t>
                  </w:r>
                  <w:proofErr w:type="spellEnd"/>
                  <w:r w:rsidRPr="00EA58FA">
                    <w:rPr>
                      <w:rFonts w:ascii="Arial" w:hAnsi="Arial" w:cs="Arial"/>
                      <w:sz w:val="22"/>
                      <w:szCs w:val="22"/>
                    </w:rPr>
                    <w:t xml:space="preserve"> instancia)</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2FCB0493"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Tribunal Superior de Distrito Judicial (</w:t>
                  </w:r>
                  <w:proofErr w:type="spellStart"/>
                  <w:r w:rsidRPr="00EA58FA">
                    <w:rPr>
                      <w:rFonts w:ascii="Arial" w:hAnsi="Arial" w:cs="Arial"/>
                      <w:sz w:val="22"/>
                      <w:szCs w:val="22"/>
                    </w:rPr>
                    <w:t>2a</w:t>
                  </w:r>
                  <w:proofErr w:type="spellEnd"/>
                  <w:r w:rsidRPr="00EA58FA">
                    <w:rPr>
                      <w:rFonts w:ascii="Arial" w:hAnsi="Arial" w:cs="Arial"/>
                      <w:sz w:val="22"/>
                      <w:szCs w:val="22"/>
                    </w:rPr>
                    <w:t xml:space="preserve"> instancia)</w:t>
                  </w:r>
                </w:p>
              </w:tc>
            </w:tr>
            <w:tr w:rsidR="00EA58FA" w:rsidRPr="00EA58FA" w14:paraId="18C7509F"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67114FF"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MAYOR CUANTIA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B3F24AC"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Mas de 150 SMLMV</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06EB082"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Juzgado Civil del Circuito (</w:t>
                  </w:r>
                  <w:proofErr w:type="spellStart"/>
                  <w:r w:rsidRPr="00EA58FA">
                    <w:rPr>
                      <w:rFonts w:ascii="Arial" w:hAnsi="Arial" w:cs="Arial"/>
                      <w:sz w:val="22"/>
                      <w:szCs w:val="22"/>
                    </w:rPr>
                    <w:t>1a</w:t>
                  </w:r>
                  <w:proofErr w:type="spellEnd"/>
                  <w:r w:rsidRPr="00EA58FA">
                    <w:rPr>
                      <w:rFonts w:ascii="Arial" w:hAnsi="Arial" w:cs="Arial"/>
                      <w:sz w:val="22"/>
                      <w:szCs w:val="22"/>
                    </w:rPr>
                    <w:t xml:space="preserve"> instancia)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1760C6C"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Tribunal Superior de Distrito Judicial (</w:t>
                  </w:r>
                  <w:proofErr w:type="spellStart"/>
                  <w:r w:rsidRPr="00EA58FA">
                    <w:rPr>
                      <w:rFonts w:ascii="Arial" w:hAnsi="Arial" w:cs="Arial"/>
                      <w:sz w:val="22"/>
                      <w:szCs w:val="22"/>
                    </w:rPr>
                    <w:t>2a</w:t>
                  </w:r>
                  <w:proofErr w:type="spellEnd"/>
                  <w:r w:rsidRPr="00EA58FA">
                    <w:rPr>
                      <w:rFonts w:ascii="Arial" w:hAnsi="Arial" w:cs="Arial"/>
                      <w:sz w:val="22"/>
                      <w:szCs w:val="22"/>
                    </w:rPr>
                    <w:t xml:space="preserve"> instancia)</w:t>
                  </w:r>
                </w:p>
              </w:tc>
            </w:tr>
          </w:tbl>
          <w:p w14:paraId="316CAA62"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 xml:space="preserve"> </w:t>
            </w:r>
          </w:p>
        </w:tc>
      </w:tr>
    </w:tbl>
    <w:p w14:paraId="668903D5" w14:textId="77777777" w:rsidR="00EA58FA" w:rsidRPr="00EA58FA" w:rsidRDefault="00EA58FA" w:rsidP="00EA58FA">
      <w:pPr>
        <w:jc w:val="both"/>
        <w:rPr>
          <w:rFonts w:ascii="Arial" w:hAnsi="Arial" w:cs="Arial"/>
          <w:sz w:val="22"/>
          <w:szCs w:val="22"/>
        </w:rPr>
      </w:pPr>
    </w:p>
    <w:p w14:paraId="3164E399"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u w:val="single"/>
        </w:rPr>
        <w:t>2.2.3 Como se Calcula la Cuantia?</w:t>
      </w:r>
    </w:p>
    <w:p w14:paraId="067C453E"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 xml:space="preserve">El articulo 26 CGP fija reglas claras para la </w:t>
      </w:r>
      <w:proofErr w:type="spellStart"/>
      <w:r w:rsidRPr="00EA58FA">
        <w:rPr>
          <w:rFonts w:ascii="Arial" w:hAnsi="Arial" w:cs="Arial"/>
          <w:sz w:val="22"/>
          <w:szCs w:val="22"/>
        </w:rPr>
        <w:t>estimacion</w:t>
      </w:r>
      <w:proofErr w:type="spellEnd"/>
      <w:r w:rsidRPr="00EA58FA">
        <w:rPr>
          <w:rFonts w:ascii="Arial" w:hAnsi="Arial" w:cs="Arial"/>
          <w:sz w:val="22"/>
          <w:szCs w:val="22"/>
        </w:rPr>
        <w:t xml:space="preserve"> de la cuantia. Conozca las más importantes:</w:t>
      </w:r>
    </w:p>
    <w:p w14:paraId="68791B23" w14:textId="77777777" w:rsidR="00EA58FA" w:rsidRPr="00EA58FA" w:rsidRDefault="00EA58FA" w:rsidP="00EA58FA">
      <w:pPr>
        <w:numPr>
          <w:ilvl w:val="0"/>
          <w:numId w:val="12"/>
        </w:numPr>
        <w:spacing w:after="160"/>
        <w:jc w:val="both"/>
        <w:rPr>
          <w:rFonts w:ascii="Arial" w:hAnsi="Arial" w:cs="Arial"/>
          <w:sz w:val="22"/>
          <w:szCs w:val="22"/>
        </w:rPr>
      </w:pPr>
      <w:r w:rsidRPr="00EA58FA">
        <w:rPr>
          <w:rFonts w:ascii="Arial" w:hAnsi="Arial" w:cs="Arial"/>
          <w:sz w:val="22"/>
          <w:szCs w:val="22"/>
        </w:rPr>
        <w:t>Pretensiones dinerarias: el valor es la suma de dinero reclamada en la demanda.</w:t>
      </w:r>
    </w:p>
    <w:p w14:paraId="0912EFBA" w14:textId="77777777" w:rsidR="00EA58FA" w:rsidRPr="00EA58FA" w:rsidRDefault="00EA58FA" w:rsidP="00EA58FA">
      <w:pPr>
        <w:numPr>
          <w:ilvl w:val="0"/>
          <w:numId w:val="12"/>
        </w:numPr>
        <w:spacing w:after="160"/>
        <w:jc w:val="both"/>
        <w:rPr>
          <w:rFonts w:ascii="Arial" w:hAnsi="Arial" w:cs="Arial"/>
          <w:sz w:val="22"/>
          <w:szCs w:val="22"/>
        </w:rPr>
      </w:pPr>
      <w:r w:rsidRPr="00EA58FA">
        <w:rPr>
          <w:rFonts w:ascii="Arial" w:hAnsi="Arial" w:cs="Arial"/>
          <w:sz w:val="22"/>
          <w:szCs w:val="22"/>
        </w:rPr>
        <w:t>Pretensiones de dar cosa: el valor comercial del bien al momento de presentar la demanda.</w:t>
      </w:r>
    </w:p>
    <w:p w14:paraId="3683562A" w14:textId="77777777" w:rsidR="00EA58FA" w:rsidRPr="00EA58FA" w:rsidRDefault="00EA58FA" w:rsidP="00EA58FA">
      <w:pPr>
        <w:numPr>
          <w:ilvl w:val="0"/>
          <w:numId w:val="12"/>
        </w:numPr>
        <w:spacing w:after="160"/>
        <w:jc w:val="both"/>
        <w:rPr>
          <w:rFonts w:ascii="Arial" w:hAnsi="Arial" w:cs="Arial"/>
          <w:sz w:val="22"/>
          <w:szCs w:val="22"/>
        </w:rPr>
      </w:pPr>
      <w:r w:rsidRPr="00EA58FA">
        <w:rPr>
          <w:rFonts w:ascii="Arial" w:hAnsi="Arial" w:cs="Arial"/>
          <w:sz w:val="22"/>
          <w:szCs w:val="22"/>
        </w:rPr>
        <w:t>Pretensiones acumuladas: si hay varias pretensiones, se suman para determinar la cuantia total.</w:t>
      </w:r>
    </w:p>
    <w:p w14:paraId="678D4772" w14:textId="77777777" w:rsidR="00EA58FA" w:rsidRPr="00EA58FA" w:rsidRDefault="00EA58FA" w:rsidP="00EA58FA">
      <w:pPr>
        <w:numPr>
          <w:ilvl w:val="0"/>
          <w:numId w:val="12"/>
        </w:numPr>
        <w:spacing w:after="160"/>
        <w:jc w:val="both"/>
        <w:rPr>
          <w:rFonts w:ascii="Arial" w:hAnsi="Arial" w:cs="Arial"/>
          <w:sz w:val="22"/>
          <w:szCs w:val="22"/>
        </w:rPr>
      </w:pPr>
      <w:r w:rsidRPr="00EA58FA">
        <w:rPr>
          <w:rFonts w:ascii="Arial" w:hAnsi="Arial" w:cs="Arial"/>
          <w:sz w:val="22"/>
          <w:szCs w:val="22"/>
        </w:rPr>
        <w:t>Pretensión de perjuicios: si el demandante los estima, ese es el valor. Si no los estima, el proceso se tramita como de menor cuantia (presunción del Art. 26 par. 2).</w:t>
      </w:r>
    </w:p>
    <w:p w14:paraId="31FAD77A" w14:textId="77777777" w:rsidR="00EA58FA" w:rsidRPr="00EA58FA" w:rsidRDefault="00EA58FA" w:rsidP="00EA58FA">
      <w:pPr>
        <w:numPr>
          <w:ilvl w:val="0"/>
          <w:numId w:val="12"/>
        </w:numPr>
        <w:spacing w:after="160"/>
        <w:jc w:val="both"/>
        <w:rPr>
          <w:rFonts w:ascii="Arial" w:hAnsi="Arial" w:cs="Arial"/>
          <w:sz w:val="22"/>
          <w:szCs w:val="22"/>
        </w:rPr>
      </w:pPr>
      <w:r w:rsidRPr="00EA58FA">
        <w:rPr>
          <w:rFonts w:ascii="Arial" w:hAnsi="Arial" w:cs="Arial"/>
          <w:sz w:val="22"/>
          <w:szCs w:val="22"/>
        </w:rPr>
        <w:t>Pretensión de rendición de cuentas: el valor es el de las sumas que se estimen en el resultado de las cuentas.</w:t>
      </w:r>
    </w:p>
    <w:p w14:paraId="7F292ED8" w14:textId="77777777" w:rsidR="00EA58FA" w:rsidRPr="00EA58FA" w:rsidRDefault="00EA58FA" w:rsidP="00EA58FA">
      <w:pPr>
        <w:numPr>
          <w:ilvl w:val="0"/>
          <w:numId w:val="12"/>
        </w:numPr>
        <w:spacing w:after="160"/>
        <w:jc w:val="both"/>
        <w:rPr>
          <w:rFonts w:ascii="Arial" w:hAnsi="Arial" w:cs="Arial"/>
          <w:sz w:val="22"/>
          <w:szCs w:val="22"/>
        </w:rPr>
      </w:pPr>
      <w:r w:rsidRPr="00EA58FA">
        <w:rPr>
          <w:rFonts w:ascii="Arial" w:hAnsi="Arial" w:cs="Arial"/>
          <w:sz w:val="22"/>
          <w:szCs w:val="22"/>
        </w:rPr>
        <w:t>Frutos e intereses causados ANTES de la demanda: SI se incluyen en la cuantia. Los causados DESPUES de presentada la demanda NO se incluyen.</w:t>
      </w:r>
    </w:p>
    <w:p w14:paraId="69F71844" w14:textId="77777777" w:rsidR="00EA58FA" w:rsidRPr="00EA58FA" w:rsidRDefault="00EA58FA" w:rsidP="00EA58FA">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EA58FA" w:rsidRPr="00EA58FA" w14:paraId="3CFDCB1E"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D4EDDA"/>
            <w:tcMar>
              <w:top w:w="140" w:type="dxa"/>
              <w:left w:w="200" w:type="dxa"/>
              <w:bottom w:w="140" w:type="dxa"/>
              <w:right w:w="200" w:type="dxa"/>
            </w:tcMar>
            <w:hideMark/>
          </w:tcPr>
          <w:p w14:paraId="476AD606"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EJEMPLO PRACTICO DE CALCULO DE CUANTIA</w:t>
            </w:r>
          </w:p>
          <w:p w14:paraId="68A17E8B"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Situación: Gabriel demanda a su inquilina Paola. Le reclama: (1) Tres meses de canon de arrendamiento: $6.000.000; (2) Indemnización por danos al inmueble: $8.500.000; (3) Intereses de mora causados ANTES de la demanda: $500.000; (4) Intereses que se sigan causando DESPUES de la demanda: No se cuentan.</w:t>
            </w:r>
          </w:p>
          <w:p w14:paraId="16807696"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Calculo: $6.000.000 + $8.500.000 + $500.000 = $15.000.000</w:t>
            </w:r>
          </w:p>
          <w:p w14:paraId="59521508"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Conclusión: Es un proceso de MINIMA CUANTIA. Juez competente: Juzgado Civil Municipal. Proceso: verbal sumario (Art. 390 CGP).</w:t>
            </w:r>
          </w:p>
        </w:tc>
      </w:tr>
    </w:tbl>
    <w:p w14:paraId="6F66175C" w14:textId="77777777" w:rsidR="00EA58FA" w:rsidRPr="00EA58FA" w:rsidRDefault="00EA58FA" w:rsidP="00EA58FA">
      <w:pPr>
        <w:jc w:val="both"/>
        <w:rPr>
          <w:rFonts w:ascii="Arial" w:hAnsi="Arial" w:cs="Arial"/>
          <w:sz w:val="22"/>
          <w:szCs w:val="22"/>
        </w:rPr>
      </w:pPr>
    </w:p>
    <w:p w14:paraId="3A9B1FFB"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u w:val="single"/>
        </w:rPr>
        <w:t>2.2.4 Competencia por Naturaleza del Asunto (Factor Objetivo Cualitativo)</w:t>
      </w:r>
    </w:p>
    <w:p w14:paraId="6C26A7E3"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Ademas de la cuantia (factor cuantitativo), el factor objetivo incluye la naturaleza especifica del asunto. Hay procesos que el CGP asigna directamente a un juez por la materia, independientemente de la cuantia:</w:t>
      </w:r>
    </w:p>
    <w:tbl>
      <w:tblPr>
        <w:tblW w:w="0" w:type="auto"/>
        <w:tblCellMar>
          <w:top w:w="15" w:type="dxa"/>
          <w:left w:w="15" w:type="dxa"/>
          <w:bottom w:w="15" w:type="dxa"/>
          <w:right w:w="15" w:type="dxa"/>
        </w:tblCellMar>
        <w:tblLook w:val="04A0" w:firstRow="1" w:lastRow="0" w:firstColumn="1" w:lastColumn="0" w:noHBand="0" w:noVBand="1"/>
      </w:tblPr>
      <w:tblGrid>
        <w:gridCol w:w="4276"/>
        <w:gridCol w:w="3101"/>
        <w:gridCol w:w="1451"/>
      </w:tblGrid>
      <w:tr w:rsidR="00EA58FA" w:rsidRPr="00EA58FA" w14:paraId="107F004E"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2203A927"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ASUNTO</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017CF00C"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JUEZ COMPETENTE</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3111BCA6"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NORMA CGP</w:t>
            </w:r>
          </w:p>
        </w:tc>
      </w:tr>
      <w:tr w:rsidR="00EA58FA" w:rsidRPr="00EA58FA" w14:paraId="37E5FE0E"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33B60B3"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lastRenderedPageBreak/>
              <w:t>Procesos de insolvencia de persona natural no comerciante</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7F9A99A"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Juzgado Civil del Circuito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FEC50D6"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Art. 531 CGP</w:t>
            </w:r>
          </w:p>
        </w:tc>
      </w:tr>
      <w:tr w:rsidR="00EA58FA" w:rsidRPr="00EA58FA" w14:paraId="5B2B6985"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D503089"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Procesos de expropiación</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862BC41"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Juzgado Civil del Circuito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EDCE433"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Art. 399 CGP</w:t>
            </w:r>
          </w:p>
        </w:tc>
      </w:tr>
      <w:tr w:rsidR="00EA58FA" w:rsidRPr="00EA58FA" w14:paraId="47BA5476"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B7BE9DC"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Liquidación de sociedad conyugal con oposición</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BC76EE5"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Juzgado de Familia / Civil del Circuito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CF61617"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Art. 489 CGP</w:t>
            </w:r>
          </w:p>
        </w:tc>
      </w:tr>
      <w:tr w:rsidR="00EA58FA" w:rsidRPr="00EA58FA" w14:paraId="3E984112"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247001E"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Procesos divisorios y deslinde mayor cuantia</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8DC6328"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Juzgado Civil del Circuito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9D4AA5C"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Art. 27 CGP</w:t>
            </w:r>
          </w:p>
        </w:tc>
      </w:tr>
      <w:tr w:rsidR="00EA58FA" w:rsidRPr="00EA58FA" w14:paraId="1BEC57EB"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2052B79"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Proceso ejecutivo hipotecario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B61BC4A"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Según cuantia del titulo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F813C1E"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Art. 26 CGP</w:t>
            </w:r>
          </w:p>
        </w:tc>
      </w:tr>
      <w:tr w:rsidR="00EA58FA" w:rsidRPr="00EA58FA" w14:paraId="52BD916D"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4F58027"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Procesos de única instancia (minima cuantia)</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69423155"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Juzgado Civil Municipal</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2B6B6990"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Art. 390 CGP</w:t>
            </w:r>
          </w:p>
        </w:tc>
      </w:tr>
    </w:tbl>
    <w:p w14:paraId="4D80F3D0" w14:textId="77777777" w:rsidR="00EA58FA" w:rsidRPr="00EA58FA" w:rsidRDefault="00EA58FA" w:rsidP="00EA58FA">
      <w:pPr>
        <w:jc w:val="both"/>
        <w:rPr>
          <w:rFonts w:ascii="Arial" w:hAnsi="Arial" w:cs="Arial"/>
          <w:sz w:val="22"/>
          <w:szCs w:val="22"/>
        </w:rPr>
      </w:pPr>
    </w:p>
    <w:p w14:paraId="67165E02" w14:textId="77777777" w:rsidR="00EA58FA" w:rsidRPr="00EA58FA" w:rsidRDefault="00EA58FA" w:rsidP="00EA58FA">
      <w:pPr>
        <w:jc w:val="both"/>
        <w:rPr>
          <w:rFonts w:ascii="Arial" w:hAnsi="Arial" w:cs="Arial"/>
          <w:b/>
          <w:bCs/>
          <w:sz w:val="22"/>
          <w:szCs w:val="22"/>
        </w:rPr>
      </w:pPr>
      <w:r w:rsidRPr="00EA58FA">
        <w:rPr>
          <w:rFonts w:ascii="Arial" w:hAnsi="Arial" w:cs="Arial"/>
          <w:b/>
          <w:bCs/>
          <w:sz w:val="22"/>
          <w:szCs w:val="22"/>
        </w:rPr>
        <w:t>CAPSULA 2.3</w:t>
      </w:r>
    </w:p>
    <w:p w14:paraId="60215EB2" w14:textId="77777777" w:rsidR="00EA58FA" w:rsidRPr="00EA58FA" w:rsidRDefault="00EA58FA" w:rsidP="00EA58FA">
      <w:pPr>
        <w:jc w:val="both"/>
        <w:rPr>
          <w:rFonts w:ascii="Arial" w:hAnsi="Arial" w:cs="Arial"/>
          <w:b/>
          <w:bCs/>
          <w:sz w:val="22"/>
          <w:szCs w:val="22"/>
        </w:rPr>
      </w:pPr>
      <w:r w:rsidRPr="00EA58FA">
        <w:rPr>
          <w:rFonts w:ascii="Arial" w:hAnsi="Arial" w:cs="Arial"/>
          <w:b/>
          <w:bCs/>
          <w:sz w:val="22"/>
          <w:szCs w:val="22"/>
        </w:rPr>
        <w:t>FACTOR SUBJETIVO: LA CALIDAD DE LAS PARTES</w:t>
      </w:r>
    </w:p>
    <w:p w14:paraId="7B3AC90C"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u w:val="single"/>
        </w:rPr>
        <w:t>2.3.1 Que es el Factor Subjetivo de Competencia?</w:t>
      </w:r>
    </w:p>
    <w:p w14:paraId="193FD144"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El factor subjetivo determina que la competencia se altera no por el valor del proceso ni por el lugar, sino por la calidad o condición especial que tiene una de las partes. En otras palabras: no importa cuánto vale el proceso ni donde ocurrieron los hechos; si una de las partes es un sujeto especial, hay un juez específicamente asignado para ese caso.</w:t>
      </w:r>
    </w:p>
    <w:p w14:paraId="404BD394"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El CGP recoge este factor en el artículo 28 (competencia de la Corte Suprema de Justicia), el articulo 30 (competencia de los Tribunales) y el artículo 28 del CGP para algunos casos de los juzgados del circuito, ademas de normas constitucionales y tratados internacionales.</w:t>
      </w:r>
    </w:p>
    <w:p w14:paraId="38009F3F"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u w:val="single"/>
        </w:rPr>
        <w:t>2.3.2 Principales Supuestos de Competencia por Factor Subjetivo</w:t>
      </w:r>
    </w:p>
    <w:tbl>
      <w:tblPr>
        <w:tblW w:w="0" w:type="auto"/>
        <w:tblCellMar>
          <w:top w:w="15" w:type="dxa"/>
          <w:left w:w="15" w:type="dxa"/>
          <w:bottom w:w="15" w:type="dxa"/>
          <w:right w:w="15" w:type="dxa"/>
        </w:tblCellMar>
        <w:tblLook w:val="04A0" w:firstRow="1" w:lastRow="0" w:firstColumn="1" w:lastColumn="0" w:noHBand="0" w:noVBand="1"/>
      </w:tblPr>
      <w:tblGrid>
        <w:gridCol w:w="2634"/>
        <w:gridCol w:w="3493"/>
        <w:gridCol w:w="2701"/>
      </w:tblGrid>
      <w:tr w:rsidR="00EA58FA" w:rsidRPr="00EA58FA" w14:paraId="7936C198"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0AE9FC7F"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SUJETO ESPECIAL</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4D8847FD"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COMPETENCIA ASIGNADA</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003E8311"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FUNDAMENTO</w:t>
            </w:r>
          </w:p>
        </w:tc>
      </w:tr>
      <w:tr w:rsidR="00EA58FA" w:rsidRPr="00EA58FA" w14:paraId="53602C3F"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4ADDAAF"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El Presidente de la Republica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CAB342E"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Corte Suprema de Justicia (Sala Plena) para procesos penales. Para civiles, la Corte Suprema Sala Civil.</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EFDA2ED"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Art. 235 núm. 3 C.P.</w:t>
            </w:r>
          </w:p>
        </w:tc>
      </w:tr>
      <w:tr w:rsidR="00EA58FA" w:rsidRPr="00EA58FA" w14:paraId="54604C12"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2B8E5809"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Magistrados de Altas Cortes, Ministros y jefes de organismos de control</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ED4215F"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Corte Suprema de Justicia - Sala Civil para procesos civiles contra ellos.</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7B10F3A7"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Art. 235 C.P. / Art. 28 CGP</w:t>
            </w:r>
          </w:p>
        </w:tc>
      </w:tr>
      <w:tr w:rsidR="00EA58FA" w:rsidRPr="00EA58FA" w14:paraId="39E0BA1B"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D5338DE"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Agentes diplomáticos acreditados en Colombia (Embajadores)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CB94675"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Inmunidad diplomática: no pueden ser demandados ante jueces colombianos sin renuncia previa a dicha inmunidad.</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AD0DDFA"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Convención de Viena sobre Relaciones Diplomáticas (Ley 6 de 1972)</w:t>
            </w:r>
          </w:p>
        </w:tc>
      </w:tr>
      <w:tr w:rsidR="00EA58FA" w:rsidRPr="00EA58FA" w14:paraId="5636C730"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7D506211"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Estado extranjero como parte demandada</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FCF123A"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Principio de inmunidad soberana. Solo procede si el Estado extranjero ha renunciado expresamente a su inmunidad.</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15FAEBDA"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Derecho Internacional / Art. 28 CGP</w:t>
            </w:r>
          </w:p>
        </w:tc>
      </w:tr>
      <w:tr w:rsidR="00EA58FA" w:rsidRPr="00EA58FA" w14:paraId="7EA033FB"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E8450BC"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lastRenderedPageBreak/>
              <w:t>Herederos o sucesores procesales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519FD0A"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El juez del causante o del proceso original conserva la competencia.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10D19B6"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Art. 68 CGP</w:t>
            </w:r>
          </w:p>
        </w:tc>
      </w:tr>
    </w:tbl>
    <w:p w14:paraId="62F70E5B" w14:textId="77777777" w:rsidR="00EA58FA" w:rsidRPr="00EA58FA" w:rsidRDefault="00EA58FA" w:rsidP="00EA58FA">
      <w:pPr>
        <w:jc w:val="both"/>
        <w:rPr>
          <w:rFonts w:ascii="Arial" w:hAnsi="Arial" w:cs="Arial"/>
          <w:sz w:val="22"/>
          <w:szCs w:val="22"/>
        </w:rPr>
      </w:pPr>
    </w:p>
    <w:p w14:paraId="3AEEA1BC"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u w:val="single"/>
        </w:rPr>
        <w:t>2.3.3 La Inmunidad Diplomática y la Competencia</w:t>
      </w:r>
    </w:p>
    <w:p w14:paraId="6FBF799E"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Cuando un ciudadano colombiano tiene un conflicto con un agente diplomático extranjero (embajador, diplomático, personal administrativo acreditado), la regla general es que el juez colombiano NO TIENE competencia para juzgarlo.</w:t>
      </w:r>
    </w:p>
    <w:p w14:paraId="1FA997D0"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La Convención de Viena sobre Relaciones Diplomáticas, aprobada por Colombia mediante Ley 6 de 1972, establece que los agentes diplomáticos gozan de inmunidad de la jurisdicción civil y penal del Estado receptor. Esto no es una cuestión de competencia en sentido estricto, sino de jurisdicción: el Estado colombiano no puede ejercer su poder de juzgar sobre esas personas.</w:t>
      </w:r>
    </w:p>
    <w:p w14:paraId="4831D251"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u w:val="single"/>
        </w:rPr>
        <w:t>2.3.4 El Fuero de Atracción: El Juez del Patrimonio</w:t>
      </w:r>
    </w:p>
    <w:p w14:paraId="3A5E3967"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En los procesos de sucesión o liquidación de patrimonio, el artículo 23 del CGP establece el denominado 'fuero de atracción': el juez que conoce del proceso universal (liquidación de sociedad conyugal, herencia, insolvencia) atrae a su competencia TODOS los demas procesos que tengan relacion con el mismo patrimonio.</w:t>
      </w:r>
    </w:p>
    <w:p w14:paraId="4BCD054D"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Esto significa que si un acreedor del causante quiere cobrar su crédito, debe hacerlo dentro del proceso de sucesión y no en un proceso separado. Es una expresión del principio de economía procesal y concentración.</w:t>
      </w:r>
    </w:p>
    <w:p w14:paraId="13512F7F" w14:textId="77777777" w:rsidR="00EA58FA" w:rsidRPr="00EA58FA" w:rsidRDefault="00EA58FA" w:rsidP="00EA58FA">
      <w:pPr>
        <w:jc w:val="both"/>
        <w:rPr>
          <w:rFonts w:ascii="Arial" w:hAnsi="Arial" w:cs="Arial"/>
          <w:b/>
          <w:bCs/>
          <w:sz w:val="22"/>
          <w:szCs w:val="22"/>
        </w:rPr>
      </w:pPr>
      <w:r w:rsidRPr="00EA58FA">
        <w:rPr>
          <w:rFonts w:ascii="Arial" w:hAnsi="Arial" w:cs="Arial"/>
          <w:b/>
          <w:bCs/>
          <w:sz w:val="22"/>
          <w:szCs w:val="22"/>
        </w:rPr>
        <w:t>CAPSULA 2.4</w:t>
      </w:r>
    </w:p>
    <w:p w14:paraId="2C97CA6B" w14:textId="77777777" w:rsidR="00EA58FA" w:rsidRPr="00EA58FA" w:rsidRDefault="00EA58FA" w:rsidP="00EA58FA">
      <w:pPr>
        <w:jc w:val="both"/>
        <w:rPr>
          <w:rFonts w:ascii="Arial" w:hAnsi="Arial" w:cs="Arial"/>
          <w:b/>
          <w:bCs/>
          <w:sz w:val="22"/>
          <w:szCs w:val="22"/>
        </w:rPr>
      </w:pPr>
      <w:r w:rsidRPr="00EA58FA">
        <w:rPr>
          <w:rFonts w:ascii="Arial" w:hAnsi="Arial" w:cs="Arial"/>
          <w:b/>
          <w:bCs/>
          <w:sz w:val="22"/>
          <w:szCs w:val="22"/>
        </w:rPr>
        <w:t>FACTOR TERRITORIAL: EL FUERO</w:t>
      </w:r>
    </w:p>
    <w:p w14:paraId="563D35F3"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u w:val="single"/>
        </w:rPr>
        <w:t>2.4.1 Que es el Factor Territorial?</w:t>
      </w:r>
    </w:p>
    <w:p w14:paraId="054B8545"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Una vez determinado el TIPO de juez que debe conocer el asunto (municipal o del circuito, mediante el factor objetivo), debemos determinar en QUE CIUDAD o municipio debe presentarse la demanda. Eso es el factor territorial, conocido clásicamente como 'el fuero'.</w:t>
      </w:r>
    </w:p>
    <w:p w14:paraId="3D446150"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El fuero es el privilegio, fundado en la ley, que tienen ciertas personas o que surge de ciertos hechos o actos jurídicos, para ser demandadas ante el juez de un lugar específico. El artículo 28 del CGP regula de manera exhaustiva los fueros en Colombia.</w:t>
      </w:r>
    </w:p>
    <w:p w14:paraId="03560B37"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A diferencia de los factores objetivo y subjetivo -que son de orden público absoluto- el factor territorial puede ser PRORROGADO por las partes. Es decir, el demandado puede renunciar tácitamente al fuero territorial si no alega la incompetencia como excepción previa (Art. 100 núm. 1 CGP).</w:t>
      </w:r>
    </w:p>
    <w:p w14:paraId="16F8E598" w14:textId="77777777" w:rsidR="00EA58FA" w:rsidRPr="00EA58FA" w:rsidRDefault="00EA58FA" w:rsidP="00EA58FA">
      <w:pPr>
        <w:jc w:val="both"/>
        <w:rPr>
          <w:rFonts w:ascii="Arial" w:hAnsi="Arial" w:cs="Arial"/>
          <w:sz w:val="22"/>
          <w:szCs w:val="22"/>
        </w:rPr>
      </w:pPr>
    </w:p>
    <w:p w14:paraId="658CBCED"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u w:val="single"/>
        </w:rPr>
        <w:t>2.4.2 El Fuero Personal: Donde Vive el Demandado</w:t>
      </w:r>
    </w:p>
    <w:p w14:paraId="6338BF97"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La regla general en Colombia, recogida en el artículo 28 numeral 1 del CGP, es que el demandado debe ser demandado en el lugar de su DOMICILIO. Esta es la regla básica y se aplica cuando no existe una regla especial.</w:t>
      </w:r>
    </w:p>
    <w:p w14:paraId="131AE87D"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 xml:space="preserve">Regla general: </w:t>
      </w:r>
      <w:r w:rsidRPr="00EA58FA">
        <w:rPr>
          <w:rFonts w:ascii="Arial" w:hAnsi="Arial" w:cs="Arial"/>
          <w:sz w:val="22"/>
          <w:szCs w:val="22"/>
        </w:rPr>
        <w:t>Se demanda ante el juez del domicilio del demandado.</w:t>
      </w:r>
    </w:p>
    <w:p w14:paraId="0A55B4B7"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El domicilio, conforme al artículo 76 del Código Civil, es el asiento principal de los negocios e intereses de una persona, que puede diferir de su residencia ocasional. Si el demandado tiene varios domicilios, el demandante puede elegir cualquiera de ellos (fuero concurrente).</w:t>
      </w:r>
    </w:p>
    <w:p w14:paraId="150297E4" w14:textId="77777777" w:rsidR="00EA58FA" w:rsidRPr="00EA58FA" w:rsidRDefault="00EA58FA" w:rsidP="00EA58FA">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EA58FA" w:rsidRPr="00EA58FA" w14:paraId="495FA6F0"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D0E8F7"/>
            <w:tcMar>
              <w:top w:w="140" w:type="dxa"/>
              <w:left w:w="200" w:type="dxa"/>
              <w:bottom w:w="140" w:type="dxa"/>
              <w:right w:w="200" w:type="dxa"/>
            </w:tcMar>
            <w:hideMark/>
          </w:tcPr>
          <w:p w14:paraId="1F89BD47"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IMPORTANTE: Domicilio vs. Residencia</w:t>
            </w:r>
          </w:p>
          <w:p w14:paraId="022F1028"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 xml:space="preserve">DOMICILIO: </w:t>
            </w:r>
            <w:r w:rsidRPr="00EA58FA">
              <w:rPr>
                <w:rFonts w:ascii="Arial" w:hAnsi="Arial" w:cs="Arial"/>
                <w:sz w:val="22"/>
                <w:szCs w:val="22"/>
              </w:rPr>
              <w:t>Es el lugar donde la persona tiene el asiento principal de sus negocios e intereses y donde ejerce sus derechos civiles habitualmente. Es el concepto relevante para el fuero personal.</w:t>
            </w:r>
          </w:p>
          <w:p w14:paraId="628B8D52"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lastRenderedPageBreak/>
              <w:t xml:space="preserve">RESIDENCIA: </w:t>
            </w:r>
            <w:r w:rsidRPr="00EA58FA">
              <w:rPr>
                <w:rFonts w:ascii="Arial" w:hAnsi="Arial" w:cs="Arial"/>
                <w:sz w:val="22"/>
                <w:szCs w:val="22"/>
              </w:rPr>
              <w:t>Es el lugar donde la persona vive de manera permanente o habitual, aunque no sea su domicilio civil. Puede coincidir con el domicilio o no.</w:t>
            </w:r>
          </w:p>
          <w:p w14:paraId="1EB964E0"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Para efectos del fuero personal, lo relevante es el DOMICILIO en sentido jurídico, no la residencia ocasional. Un bogotano que vive temporalmente en Medellin por razones de trabajo sigue teniendo su domicilio en Bogotá si ahi tiene su asiento principal de negocios.</w:t>
            </w:r>
          </w:p>
        </w:tc>
      </w:tr>
    </w:tbl>
    <w:p w14:paraId="75941C8D" w14:textId="77777777" w:rsidR="00EA58FA" w:rsidRPr="00EA58FA" w:rsidRDefault="00EA58FA" w:rsidP="00EA58FA">
      <w:pPr>
        <w:jc w:val="both"/>
        <w:rPr>
          <w:rFonts w:ascii="Arial" w:hAnsi="Arial" w:cs="Arial"/>
          <w:b/>
          <w:bCs/>
          <w:sz w:val="22"/>
          <w:szCs w:val="22"/>
          <w:u w:val="single"/>
        </w:rPr>
      </w:pPr>
    </w:p>
    <w:p w14:paraId="4E18457B"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u w:val="single"/>
        </w:rPr>
        <w:t>2.4.3 El Fuero Real: Donde Está el Bien</w:t>
      </w:r>
    </w:p>
    <w:p w14:paraId="142E6E0E"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En los procesos que recaen sobre bienes inmuebles (propiedad, posesión, servidumbres, hipotecas, acciones reales), el articulo 28 numeral 5 del CGP establece que la competencia territorial le corresponde al juez del lugar donde este ubicado el inmueble.</w:t>
      </w:r>
    </w:p>
    <w:p w14:paraId="5440D7EA" w14:textId="77777777" w:rsidR="00EA58FA" w:rsidRPr="00EA58FA" w:rsidRDefault="00EA58FA" w:rsidP="00EA58FA">
      <w:pPr>
        <w:numPr>
          <w:ilvl w:val="0"/>
          <w:numId w:val="13"/>
        </w:numPr>
        <w:spacing w:after="160"/>
        <w:jc w:val="both"/>
        <w:rPr>
          <w:rFonts w:ascii="Arial" w:hAnsi="Arial" w:cs="Arial"/>
          <w:sz w:val="22"/>
          <w:szCs w:val="22"/>
        </w:rPr>
      </w:pPr>
      <w:r w:rsidRPr="00EA58FA">
        <w:rPr>
          <w:rFonts w:ascii="Arial" w:hAnsi="Arial" w:cs="Arial"/>
          <w:sz w:val="22"/>
          <w:szCs w:val="22"/>
        </w:rPr>
        <w:t>Procesos petitorios (reivindicación, declaración de pertenencia): juez del lugar donde está el inmueble.</w:t>
      </w:r>
    </w:p>
    <w:p w14:paraId="56A81B20" w14:textId="77777777" w:rsidR="00EA58FA" w:rsidRPr="00EA58FA" w:rsidRDefault="00EA58FA" w:rsidP="00EA58FA">
      <w:pPr>
        <w:numPr>
          <w:ilvl w:val="0"/>
          <w:numId w:val="13"/>
        </w:numPr>
        <w:spacing w:after="160"/>
        <w:jc w:val="both"/>
        <w:rPr>
          <w:rFonts w:ascii="Arial" w:hAnsi="Arial" w:cs="Arial"/>
          <w:sz w:val="22"/>
          <w:szCs w:val="22"/>
        </w:rPr>
      </w:pPr>
      <w:r w:rsidRPr="00EA58FA">
        <w:rPr>
          <w:rFonts w:ascii="Arial" w:hAnsi="Arial" w:cs="Arial"/>
          <w:sz w:val="22"/>
          <w:szCs w:val="22"/>
        </w:rPr>
        <w:t>Procesos posesorios: juez del lugar del inmueble.</w:t>
      </w:r>
    </w:p>
    <w:p w14:paraId="0A2582C7" w14:textId="77777777" w:rsidR="00EA58FA" w:rsidRPr="00EA58FA" w:rsidRDefault="00EA58FA" w:rsidP="00EA58FA">
      <w:pPr>
        <w:numPr>
          <w:ilvl w:val="0"/>
          <w:numId w:val="13"/>
        </w:numPr>
        <w:spacing w:after="160"/>
        <w:jc w:val="both"/>
        <w:rPr>
          <w:rFonts w:ascii="Arial" w:hAnsi="Arial" w:cs="Arial"/>
          <w:sz w:val="22"/>
          <w:szCs w:val="22"/>
        </w:rPr>
      </w:pPr>
      <w:r w:rsidRPr="00EA58FA">
        <w:rPr>
          <w:rFonts w:ascii="Arial" w:hAnsi="Arial" w:cs="Arial"/>
          <w:sz w:val="22"/>
          <w:szCs w:val="22"/>
        </w:rPr>
        <w:t>Ejecución hipotecaria: juez del lugar donde este ubicado el inmueble hipotecado.</w:t>
      </w:r>
    </w:p>
    <w:p w14:paraId="5C16D233"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u w:val="single"/>
        </w:rPr>
        <w:t>2.4.4 El Fuero Contractual: Donde Se Cumplía la Obligación</w:t>
      </w:r>
    </w:p>
    <w:p w14:paraId="728ADA6C"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Para los procesos derivados de contratos (cobro de obligaciones, incumplimiento, resolución), el artículo 28 numeral 1 del CGP ofrece al demandante una opción: puede demandar ante el juez del domicilio del demandado O ante el juez del lugar de cumplimiento de la obligación contractual.</w:t>
      </w:r>
    </w:p>
    <w:p w14:paraId="53EA50A7"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El lugar de cumplimiento de la obligación es el que las partes pactaron en el contrato. Si no lo pactaron, se aplican las reglas del Código Civil (art. 1646): para obligaciones de dar, el lugar donde existía la cosa al momento de constituirse la obligación; para obligaciones de hacer, el domicilio del deudor.</w:t>
      </w:r>
    </w:p>
    <w:p w14:paraId="5F24F467" w14:textId="77777777" w:rsidR="00EA58FA" w:rsidRPr="00EA58FA" w:rsidRDefault="00EA58FA" w:rsidP="00EA58FA">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2147"/>
        <w:gridCol w:w="2594"/>
        <w:gridCol w:w="1280"/>
        <w:gridCol w:w="2807"/>
      </w:tblGrid>
      <w:tr w:rsidR="00EA58FA" w:rsidRPr="00EA58FA" w14:paraId="424FAC7E"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27C0F62D"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TIPO DE FUERO</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30B0DF43"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REGLA APLICABLE</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0C71C8B0"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NORMA</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042CB606"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EJEMPLO</w:t>
            </w:r>
          </w:p>
        </w:tc>
      </w:tr>
      <w:tr w:rsidR="00EA58FA" w:rsidRPr="00EA58FA" w14:paraId="24B36A7A"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5992CFA"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Personal (Regla General)</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05F2612"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Domicilio del demandado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D4463AB"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Art. 28 núm. 1 CGP</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3B07CE1"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Cobro de $M: se demanda en la ciudad donde vive el deudor</w:t>
            </w:r>
          </w:p>
        </w:tc>
      </w:tr>
      <w:tr w:rsidR="00EA58FA" w:rsidRPr="00EA58FA" w14:paraId="0D8D0893"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1208A0A4"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Real (Inmuebles)</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700770A4"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Lugar donde está el inmueble</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68794534"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Art. 28 núm. 5 CGP</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F60BF06"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Reivindicación de casa en Cali: juzgado de Cali</w:t>
            </w:r>
          </w:p>
        </w:tc>
      </w:tr>
      <w:tr w:rsidR="00EA58FA" w:rsidRPr="00EA58FA" w14:paraId="4C20CAA9"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68E9623"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Contractual</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722B965"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Lugar de cumplimiento del contrato O domicilio demandado (a elección del demandante)</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A2F3B1E"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Art. 28 núm. 1 CGP</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0FBEF87"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Contrato con entrega en Medellin: puede demandar en Medellin o en el domicilio del demandado</w:t>
            </w:r>
          </w:p>
        </w:tc>
      </w:tr>
      <w:tr w:rsidR="00EA58FA" w:rsidRPr="00EA58FA" w14:paraId="33EEABB8"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210B8D36"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Sucesora</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533525F6"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Lugar del último domicilio del causante</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38FE23F0"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Art. 28 núm. 8 CGP</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08B5724D"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Herencia: juzgado del lugar donde vivía el fallecido</w:t>
            </w:r>
          </w:p>
        </w:tc>
      </w:tr>
      <w:tr w:rsidR="00EA58FA" w:rsidRPr="00EA58FA" w14:paraId="56345423"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63E9113"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Societario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95080F0"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Domicilio principal de la sociedad</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06F3467"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Art. 28 núm. 4 CGP</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53A3C9D"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Demanda a empresa: juzgado donde está registrada</w:t>
            </w:r>
          </w:p>
        </w:tc>
      </w:tr>
      <w:tr w:rsidR="00EA58FA" w:rsidRPr="00EA58FA" w14:paraId="14CFCABA"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308C9B5B"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lastRenderedPageBreak/>
              <w:t>Responsabilidad extracontractual</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1D30C754"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Lugar donde ocurrió el hecho o domicilio del demandado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735BB01D"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Art. 28 núm. 3 CGP</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1F803722"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Accidente en Cartagena: puede demandar en Cartagena o donde vive el responsable</w:t>
            </w:r>
          </w:p>
        </w:tc>
      </w:tr>
    </w:tbl>
    <w:p w14:paraId="02A0FDF7" w14:textId="77777777" w:rsidR="00EA58FA" w:rsidRPr="00EA58FA" w:rsidRDefault="00EA58FA" w:rsidP="00EA58FA">
      <w:pPr>
        <w:jc w:val="both"/>
        <w:rPr>
          <w:rFonts w:ascii="Arial" w:hAnsi="Arial" w:cs="Arial"/>
          <w:sz w:val="22"/>
          <w:szCs w:val="22"/>
        </w:rPr>
      </w:pPr>
    </w:p>
    <w:p w14:paraId="753BAFA3" w14:textId="77777777" w:rsidR="00EA58FA" w:rsidRPr="00EA58FA" w:rsidRDefault="00EA58FA" w:rsidP="00EA58FA">
      <w:pPr>
        <w:jc w:val="both"/>
        <w:rPr>
          <w:rFonts w:ascii="Arial" w:hAnsi="Arial" w:cs="Arial"/>
          <w:b/>
          <w:bCs/>
          <w:sz w:val="22"/>
          <w:szCs w:val="22"/>
        </w:rPr>
      </w:pPr>
    </w:p>
    <w:p w14:paraId="0DCE084A" w14:textId="77777777" w:rsidR="00EA58FA" w:rsidRPr="00EA58FA" w:rsidRDefault="00EA58FA" w:rsidP="00EA58FA">
      <w:pPr>
        <w:jc w:val="both"/>
        <w:rPr>
          <w:rFonts w:ascii="Arial" w:hAnsi="Arial" w:cs="Arial"/>
          <w:b/>
          <w:bCs/>
          <w:sz w:val="22"/>
          <w:szCs w:val="22"/>
        </w:rPr>
      </w:pPr>
      <w:r w:rsidRPr="00EA58FA">
        <w:rPr>
          <w:rFonts w:ascii="Arial" w:hAnsi="Arial" w:cs="Arial"/>
          <w:b/>
          <w:bCs/>
          <w:sz w:val="22"/>
          <w:szCs w:val="22"/>
        </w:rPr>
        <w:t>CAPSULA 2.5</w:t>
      </w:r>
    </w:p>
    <w:p w14:paraId="3420C40B" w14:textId="77777777" w:rsidR="00EA58FA" w:rsidRPr="00EA58FA" w:rsidRDefault="00EA58FA" w:rsidP="00EA58FA">
      <w:pPr>
        <w:jc w:val="both"/>
        <w:rPr>
          <w:rFonts w:ascii="Arial" w:hAnsi="Arial" w:cs="Arial"/>
          <w:b/>
          <w:bCs/>
          <w:sz w:val="22"/>
          <w:szCs w:val="22"/>
        </w:rPr>
      </w:pPr>
      <w:r w:rsidRPr="00EA58FA">
        <w:rPr>
          <w:rFonts w:ascii="Arial" w:hAnsi="Arial" w:cs="Arial"/>
          <w:b/>
          <w:bCs/>
          <w:sz w:val="22"/>
          <w:szCs w:val="22"/>
        </w:rPr>
        <w:t>FACTOR FUNCIONAL Y CONEXIDAD: GRADOS, APELACIÓN Y ACUMULACIÓN</w:t>
      </w:r>
    </w:p>
    <w:p w14:paraId="680DA692"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u w:val="single"/>
        </w:rPr>
        <w:t>2.5.1 Que es el Factor Funcional?</w:t>
      </w:r>
    </w:p>
    <w:p w14:paraId="6EBC214D"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El factor funcional determina la competencia en razon del GRADO JURISDICCIONAL: primera instancia, segunda instancia, o sede de recursos extraordinarios. Es, en otras palabras, el factor que nos dice quien conoce de los recursos contra las decisiones judiciales.</w:t>
      </w:r>
    </w:p>
    <w:p w14:paraId="42568740"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Este factor presupone la existencia del principio de la DOBLE INSTANCIA, consagrado como garantía en el artículo 31 de la Constitución Política: toda sentencia judicial puede ser impugnada o consultada ante el superior jerárquico del juez que la profiere.</w:t>
      </w:r>
    </w:p>
    <w:p w14:paraId="0C8F7AE5"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u w:val="single"/>
        </w:rPr>
        <w:t>2.5.2 La Estructura del Factor Funcional en el CGP</w:t>
      </w:r>
    </w:p>
    <w:tbl>
      <w:tblPr>
        <w:tblW w:w="0" w:type="auto"/>
        <w:tblCellMar>
          <w:top w:w="15" w:type="dxa"/>
          <w:left w:w="15" w:type="dxa"/>
          <w:bottom w:w="15" w:type="dxa"/>
          <w:right w:w="15" w:type="dxa"/>
        </w:tblCellMar>
        <w:tblLook w:val="04A0" w:firstRow="1" w:lastRow="0" w:firstColumn="1" w:lastColumn="0" w:noHBand="0" w:noVBand="1"/>
      </w:tblPr>
      <w:tblGrid>
        <w:gridCol w:w="2245"/>
        <w:gridCol w:w="3698"/>
        <w:gridCol w:w="2885"/>
      </w:tblGrid>
      <w:tr w:rsidR="00EA58FA" w:rsidRPr="00EA58FA" w14:paraId="68BB4871"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776A5218"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PRIMERA INSTANCIA</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44DC57AF"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SEGUNDA INSTANCIA (Apelación)</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541C9CE1"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RECURSO EXTRAORDINARIO</w:t>
            </w:r>
          </w:p>
        </w:tc>
      </w:tr>
      <w:tr w:rsidR="00EA58FA" w:rsidRPr="00EA58FA" w14:paraId="1497DCC6"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3D6F5AF"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Juzgado Civil Municipal (menor y minima cuantia)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189C243A"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Juzgado Civil del Circuito (apelaciones de menor cuantia) / Tribunal Superior (minima cuantia - única instancia no apela)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9267D0B"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No hay casación</w:t>
            </w:r>
          </w:p>
        </w:tc>
      </w:tr>
      <w:tr w:rsidR="00EA58FA" w:rsidRPr="00EA58FA" w14:paraId="79A00CFF"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20FD603D"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Juzgado Civil del Circuito (mayor cuantia)</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3361C280"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Tribunal Superior de Distrito Judicial</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486F8722"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Corte Suprema de Justicia - Sala Civil (Casación)</w:t>
            </w:r>
          </w:p>
        </w:tc>
      </w:tr>
      <w:tr w:rsidR="00EA58FA" w:rsidRPr="00EA58FA" w14:paraId="0648A774"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C1F9730"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Tribunal Superior (en primera instancia por fuero)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2F7CC5A"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Corte Suprema de Justicia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7677036"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No aplica</w:t>
            </w:r>
          </w:p>
        </w:tc>
      </w:tr>
    </w:tbl>
    <w:p w14:paraId="2C4CCCD5" w14:textId="77777777" w:rsidR="00EA58FA" w:rsidRPr="00EA58FA" w:rsidRDefault="00EA58FA" w:rsidP="00EA58FA">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EA58FA" w:rsidRPr="00EA58FA" w14:paraId="6DF97FBC"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3CD"/>
            <w:tcMar>
              <w:top w:w="140" w:type="dxa"/>
              <w:left w:w="200" w:type="dxa"/>
              <w:bottom w:w="140" w:type="dxa"/>
              <w:right w:w="200" w:type="dxa"/>
            </w:tcMar>
            <w:hideMark/>
          </w:tcPr>
          <w:p w14:paraId="195AC9FE"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IMPORTANTE: Los Procesos de UNICA Instancia</w:t>
            </w:r>
          </w:p>
          <w:p w14:paraId="4B03DB1B"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El CGP consagra ciertos procesos de UNICA instancia: los procesos verbales sumarios de minima cuantia (Art. 390 CGP). Esto significa que la sentencia NO tiene recurso de apelación. Solo proceden excepcionalmente, la tutela contra providencias judiciales.</w:t>
            </w:r>
          </w:p>
        </w:tc>
      </w:tr>
    </w:tbl>
    <w:p w14:paraId="17A642D7" w14:textId="77777777" w:rsidR="00EA58FA" w:rsidRPr="00EA58FA" w:rsidRDefault="00EA58FA" w:rsidP="00EA58FA">
      <w:pPr>
        <w:jc w:val="both"/>
        <w:rPr>
          <w:rFonts w:ascii="Arial" w:hAnsi="Arial" w:cs="Arial"/>
          <w:sz w:val="22"/>
          <w:szCs w:val="22"/>
        </w:rPr>
      </w:pPr>
    </w:p>
    <w:p w14:paraId="605EE92D"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u w:val="single"/>
        </w:rPr>
        <w:t>2.5.3 El Recurso de Apelación y la Segunda Instancia</w:t>
      </w:r>
    </w:p>
    <w:p w14:paraId="34245098"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El recurso de apelación, regulado en el artículo 321 y siguientes del CGP, es el mecanismo por excelencia para someter la decisión del juez de primera instancia al control del juez superior. El juez de segunda instancia tiene plenas facultades para revisar tanto los errores de hecho (en la apreciación de las pruebas) como los errores de derecho (en la aplicación de la ley) del juez inferior.</w:t>
      </w:r>
    </w:p>
    <w:p w14:paraId="7034AA9C" w14:textId="77777777" w:rsidR="00EA58FA" w:rsidRPr="00EA58FA" w:rsidRDefault="00EA58FA" w:rsidP="00EA58FA">
      <w:pPr>
        <w:numPr>
          <w:ilvl w:val="0"/>
          <w:numId w:val="14"/>
        </w:numPr>
        <w:spacing w:after="160"/>
        <w:jc w:val="both"/>
        <w:rPr>
          <w:rFonts w:ascii="Arial" w:hAnsi="Arial" w:cs="Arial"/>
          <w:sz w:val="22"/>
          <w:szCs w:val="22"/>
        </w:rPr>
      </w:pPr>
      <w:r w:rsidRPr="00EA58FA">
        <w:rPr>
          <w:rFonts w:ascii="Arial" w:hAnsi="Arial" w:cs="Arial"/>
          <w:sz w:val="22"/>
          <w:szCs w:val="22"/>
        </w:rPr>
        <w:t>Proceden apelación: las sentencias de primera instancia, los autos que la ley expresamente señala (Art. 321 CGP).</w:t>
      </w:r>
    </w:p>
    <w:p w14:paraId="2F82293F" w14:textId="77777777" w:rsidR="00EA58FA" w:rsidRPr="00EA58FA" w:rsidRDefault="00EA58FA" w:rsidP="00EA58FA">
      <w:pPr>
        <w:numPr>
          <w:ilvl w:val="0"/>
          <w:numId w:val="14"/>
        </w:numPr>
        <w:spacing w:after="160"/>
        <w:jc w:val="both"/>
        <w:rPr>
          <w:rFonts w:ascii="Arial" w:hAnsi="Arial" w:cs="Arial"/>
          <w:sz w:val="22"/>
          <w:szCs w:val="22"/>
        </w:rPr>
      </w:pPr>
      <w:r w:rsidRPr="00EA58FA">
        <w:rPr>
          <w:rFonts w:ascii="Arial" w:hAnsi="Arial" w:cs="Arial"/>
          <w:sz w:val="22"/>
          <w:szCs w:val="22"/>
        </w:rPr>
        <w:t>Quien conoce la apelación: el juez inmediatamente superior en la jerarquía (circuito apela al tribunal, municipal apela al circuito).</w:t>
      </w:r>
    </w:p>
    <w:p w14:paraId="2F75120E" w14:textId="77777777" w:rsidR="00EA58FA" w:rsidRPr="00EA58FA" w:rsidRDefault="00EA58FA" w:rsidP="00EA58FA">
      <w:pPr>
        <w:numPr>
          <w:ilvl w:val="0"/>
          <w:numId w:val="14"/>
        </w:numPr>
        <w:spacing w:after="160"/>
        <w:jc w:val="both"/>
        <w:rPr>
          <w:rFonts w:ascii="Arial" w:hAnsi="Arial" w:cs="Arial"/>
          <w:sz w:val="22"/>
          <w:szCs w:val="22"/>
        </w:rPr>
      </w:pPr>
      <w:r w:rsidRPr="00EA58FA">
        <w:rPr>
          <w:rFonts w:ascii="Arial" w:hAnsi="Arial" w:cs="Arial"/>
          <w:sz w:val="22"/>
          <w:szCs w:val="22"/>
        </w:rPr>
        <w:lastRenderedPageBreak/>
        <w:t>Competencia del ad que: el juez de segunda instancia tiene competencia limitada por los reparos del apelante. No puede empeorar la situación del apelante único (prohibición de la reformateo in pejes, Art. 328 CGP).</w:t>
      </w:r>
    </w:p>
    <w:p w14:paraId="39427775"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u w:val="single"/>
        </w:rPr>
        <w:t>2.5.4 Conexidad y Acumulación de Procesos</w:t>
      </w:r>
    </w:p>
    <w:p w14:paraId="45ED8B36"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La CONEXIDAD es el vínculo jurídico o factual que existe entre dos o más procesos, que justifica que sean conocidos por el mismo juez. El CGP regula la acumulación de procesos conexos en el artículo 148.</w:t>
      </w: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EA58FA" w:rsidRPr="00EA58FA" w14:paraId="14F94077"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D0E8F7"/>
            <w:tcMar>
              <w:top w:w="140" w:type="dxa"/>
              <w:left w:w="200" w:type="dxa"/>
              <w:bottom w:w="140" w:type="dxa"/>
              <w:right w:w="200" w:type="dxa"/>
            </w:tcMar>
            <w:hideMark/>
          </w:tcPr>
          <w:p w14:paraId="450269F0"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TIPOS DE CONEXIDAD Y SUS EFECTOS</w:t>
            </w:r>
          </w:p>
          <w:p w14:paraId="08A6F56E"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 xml:space="preserve">Conexidad objetiva: </w:t>
            </w:r>
            <w:r w:rsidRPr="00EA58FA">
              <w:rPr>
                <w:rFonts w:ascii="Arial" w:hAnsi="Arial" w:cs="Arial"/>
                <w:sz w:val="22"/>
                <w:szCs w:val="22"/>
              </w:rPr>
              <w:t>Dos procesos comparten el mismo objeto o la misma causa. Ej.: dos demandas de reivindicación sobre el mismo inmueble.</w:t>
            </w:r>
          </w:p>
          <w:p w14:paraId="08223D41"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 xml:space="preserve">Conexidad subjetiva: </w:t>
            </w:r>
            <w:r w:rsidRPr="00EA58FA">
              <w:rPr>
                <w:rFonts w:ascii="Arial" w:hAnsi="Arial" w:cs="Arial"/>
                <w:sz w:val="22"/>
                <w:szCs w:val="22"/>
              </w:rPr>
              <w:t>Dos procesos tienen las mismas partes. Ej.: dos deudores del mismo acreedor.</w:t>
            </w:r>
          </w:p>
          <w:p w14:paraId="2494943F"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 xml:space="preserve">Acumulación de pretensiones (Art. 88 CGP): </w:t>
            </w:r>
            <w:r w:rsidRPr="00EA58FA">
              <w:rPr>
                <w:rFonts w:ascii="Arial" w:hAnsi="Arial" w:cs="Arial"/>
                <w:sz w:val="22"/>
                <w:szCs w:val="22"/>
              </w:rPr>
              <w:t>El demandante puede formular todas sus pretensiones relacionadas en una sola demanda, siempre que no se excluyan entre sí, sean tramitarles por el mismo procedimiento y el juez sea competente para conocer de todas.</w:t>
            </w:r>
          </w:p>
          <w:p w14:paraId="7308001D"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 xml:space="preserve">Acumulación de demandas (Art. 148 CGP): </w:t>
            </w:r>
            <w:r w:rsidRPr="00EA58FA">
              <w:rPr>
                <w:rFonts w:ascii="Arial" w:hAnsi="Arial" w:cs="Arial"/>
                <w:sz w:val="22"/>
                <w:szCs w:val="22"/>
              </w:rPr>
              <w:t>Dos procesos separados pueden acumularse cuando estan en el mismo despacho judicial o cuando uno de ellos está en primera instancia y el otro pendiente de fallo. El efecto es que se decidirán en una sola sentencia.</w:t>
            </w:r>
          </w:p>
        </w:tc>
      </w:tr>
    </w:tbl>
    <w:p w14:paraId="392AC64F" w14:textId="77777777" w:rsidR="00EA58FA" w:rsidRPr="00EA58FA" w:rsidRDefault="00EA58FA" w:rsidP="00EA58FA">
      <w:pPr>
        <w:jc w:val="both"/>
        <w:rPr>
          <w:rFonts w:ascii="Arial" w:hAnsi="Arial" w:cs="Arial"/>
          <w:sz w:val="22"/>
          <w:szCs w:val="22"/>
        </w:rPr>
      </w:pPr>
    </w:p>
    <w:p w14:paraId="39069D91" w14:textId="77777777" w:rsidR="00EA58FA" w:rsidRPr="00EA58FA" w:rsidRDefault="00EA58FA" w:rsidP="00EA58FA">
      <w:pPr>
        <w:jc w:val="both"/>
        <w:rPr>
          <w:rFonts w:ascii="Arial" w:hAnsi="Arial" w:cs="Arial"/>
          <w:b/>
          <w:bCs/>
          <w:sz w:val="22"/>
          <w:szCs w:val="22"/>
        </w:rPr>
      </w:pPr>
    </w:p>
    <w:p w14:paraId="4DD7877C" w14:textId="77777777" w:rsidR="00EA58FA" w:rsidRPr="00EA58FA" w:rsidRDefault="00EA58FA" w:rsidP="00EA58FA">
      <w:pPr>
        <w:jc w:val="both"/>
        <w:rPr>
          <w:rFonts w:ascii="Arial" w:hAnsi="Arial" w:cs="Arial"/>
          <w:b/>
          <w:bCs/>
          <w:sz w:val="22"/>
          <w:szCs w:val="22"/>
        </w:rPr>
      </w:pPr>
      <w:r w:rsidRPr="00EA58FA">
        <w:rPr>
          <w:rFonts w:ascii="Arial" w:hAnsi="Arial" w:cs="Arial"/>
          <w:b/>
          <w:bCs/>
          <w:sz w:val="22"/>
          <w:szCs w:val="22"/>
        </w:rPr>
        <w:t>CAPSULA 2.6</w:t>
      </w:r>
    </w:p>
    <w:p w14:paraId="607588A5" w14:textId="77777777" w:rsidR="00EA58FA" w:rsidRPr="00EA58FA" w:rsidRDefault="00EA58FA" w:rsidP="00EA58FA">
      <w:pPr>
        <w:jc w:val="both"/>
        <w:rPr>
          <w:rFonts w:ascii="Arial" w:hAnsi="Arial" w:cs="Arial"/>
          <w:b/>
          <w:bCs/>
          <w:sz w:val="22"/>
          <w:szCs w:val="22"/>
        </w:rPr>
      </w:pPr>
      <w:r w:rsidRPr="00EA58FA">
        <w:rPr>
          <w:rFonts w:ascii="Arial" w:hAnsi="Arial" w:cs="Arial"/>
          <w:b/>
          <w:bCs/>
          <w:sz w:val="22"/>
          <w:szCs w:val="22"/>
        </w:rPr>
        <w:t>CONFLICTOS DE COMPETENCIA: CUANDO LOS JUECES SE TIRAN LA PELOTA</w:t>
      </w:r>
    </w:p>
    <w:p w14:paraId="180811AA"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u w:val="single"/>
        </w:rPr>
        <w:t>2.6.1 Que es un Conflicto de Competencia?</w:t>
      </w:r>
    </w:p>
    <w:p w14:paraId="089A5392"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Uno de los escenarios más dramáticos y frustrantes del litigio civil es cuando dos jueces no se ponen de acuerdo sobre quien debe conocer de un asunto. El conflicto de competencia ocurre cuando existe una discrepancia entre dos jueces sobre cuál de ellos tiene la competencia para tramitar un proceso.</w:t>
      </w:r>
    </w:p>
    <w:p w14:paraId="2384ACFB"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El CGP regula esta situación en los artículos 139 a 143. La figura es importante porque durante un conflicto de competencia el proceso queda paralizado, y ninguno de los dos jueces puede dictar sentencia de fondo hasta que el conflicto sea resuelto por el superior común.</w:t>
      </w:r>
    </w:p>
    <w:p w14:paraId="33ECE1B7"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u w:val="single"/>
        </w:rPr>
        <w:t>2.6.2 Tipos de Conflicto de Competencia</w:t>
      </w:r>
    </w:p>
    <w:tbl>
      <w:tblPr>
        <w:tblW w:w="0" w:type="auto"/>
        <w:tblCellMar>
          <w:top w:w="15" w:type="dxa"/>
          <w:left w:w="15" w:type="dxa"/>
          <w:bottom w:w="15" w:type="dxa"/>
          <w:right w:w="15" w:type="dxa"/>
        </w:tblCellMar>
        <w:tblLook w:val="04A0" w:firstRow="1" w:lastRow="0" w:firstColumn="1" w:lastColumn="0" w:noHBand="0" w:noVBand="1"/>
      </w:tblPr>
      <w:tblGrid>
        <w:gridCol w:w="1716"/>
        <w:gridCol w:w="3617"/>
        <w:gridCol w:w="3495"/>
      </w:tblGrid>
      <w:tr w:rsidR="00EA58FA" w:rsidRPr="00EA58FA" w14:paraId="532BCA6F"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219BFCBA"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TIPO</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783B3DD7"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DESCRIPCIÓN</w:t>
            </w:r>
          </w:p>
        </w:tc>
        <w:tc>
          <w:tcPr>
            <w:tcW w:w="0" w:type="auto"/>
            <w:tcBorders>
              <w:top w:val="single" w:sz="4" w:space="0" w:color="CCCCCC"/>
              <w:left w:val="single" w:sz="4" w:space="0" w:color="CCCCCC"/>
              <w:bottom w:val="single" w:sz="4" w:space="0" w:color="CCCCCC"/>
              <w:right w:val="single" w:sz="4" w:space="0" w:color="CCCCCC"/>
            </w:tcBorders>
            <w:shd w:val="clear" w:color="auto" w:fill="1F6FA8"/>
            <w:tcMar>
              <w:top w:w="100" w:type="dxa"/>
              <w:left w:w="150" w:type="dxa"/>
              <w:bottom w:w="100" w:type="dxa"/>
              <w:right w:w="150" w:type="dxa"/>
            </w:tcMar>
            <w:hideMark/>
          </w:tcPr>
          <w:p w14:paraId="13C04BE2"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EJEMPLO</w:t>
            </w:r>
          </w:p>
        </w:tc>
      </w:tr>
      <w:tr w:rsidR="00EA58FA" w:rsidRPr="00EA58FA" w14:paraId="45002745"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201DA0B"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CONFLICTO POSITIVO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C16AA0B"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Ambos jueces SE DECLARAN competentes para conocer el mismo asunto y ninguno quiere ceder. Ambos 'se tiran a la pelota' para tenerla.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C863DDC"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El Juzgado 3 Civil del Circuito de Bogotá dice ser competente. El Juzgado 5 Civil del Circuito de Bogotá tambien se declara competente para el mismo proceso.</w:t>
            </w:r>
          </w:p>
        </w:tc>
      </w:tr>
      <w:tr w:rsidR="00EA58FA" w:rsidRPr="00EA58FA" w14:paraId="59948648"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31EF4FC5"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CONFLICTO NEGATIVO</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44D3F9E7"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Ambos jueces SE DECLARAN INCOMPETENTES y ninguno quiere asumir el asunto. Ambos 'le tiran la pelota al otro' para no tenerla.</w:t>
            </w:r>
          </w:p>
        </w:tc>
        <w:tc>
          <w:tcPr>
            <w:tcW w:w="0" w:type="auto"/>
            <w:tcBorders>
              <w:top w:val="single" w:sz="4" w:space="0" w:color="CCCCCC"/>
              <w:left w:val="single" w:sz="4" w:space="0" w:color="CCCCCC"/>
              <w:bottom w:val="single" w:sz="4" w:space="0" w:color="CCCCCC"/>
              <w:right w:val="single" w:sz="4" w:space="0" w:color="CCCCCC"/>
            </w:tcBorders>
            <w:shd w:val="clear" w:color="auto" w:fill="EDF4FA"/>
            <w:tcMar>
              <w:top w:w="100" w:type="dxa"/>
              <w:left w:w="150" w:type="dxa"/>
              <w:bottom w:w="100" w:type="dxa"/>
              <w:right w:w="150" w:type="dxa"/>
            </w:tcMar>
            <w:hideMark/>
          </w:tcPr>
          <w:p w14:paraId="1326FBBF"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El Juzgado Civil Municipal dice que la cuantia supera su competencia. El Juzgado Civil del Circuito dice que la cuantia no supera su competencia. Ninguno quiere el proceso.</w:t>
            </w:r>
          </w:p>
        </w:tc>
      </w:tr>
    </w:tbl>
    <w:p w14:paraId="31F06554" w14:textId="77777777" w:rsidR="00EA58FA" w:rsidRPr="00EA58FA" w:rsidRDefault="00EA58FA" w:rsidP="00EA58FA">
      <w:pPr>
        <w:jc w:val="both"/>
        <w:rPr>
          <w:rFonts w:ascii="Arial" w:hAnsi="Arial" w:cs="Arial"/>
          <w:sz w:val="22"/>
          <w:szCs w:val="22"/>
        </w:rPr>
      </w:pPr>
    </w:p>
    <w:p w14:paraId="6E6C13F1"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u w:val="single"/>
        </w:rPr>
        <w:t>2.6.3 Como se Resuelve el Conflicto de Competencia?</w:t>
      </w:r>
    </w:p>
    <w:p w14:paraId="4345E8E1"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El artículo 141 del CGP establece el procedimiento para resolver los conflictos de competencia. La regla básica es que el conflicto lo resuelve el SUPERIOR JERÁRQUICO COMÚN de los dos jueces en disputa:</w:t>
      </w:r>
    </w:p>
    <w:p w14:paraId="6C03E1F8" w14:textId="77777777" w:rsidR="00EA58FA" w:rsidRPr="00EA58FA" w:rsidRDefault="00EA58FA" w:rsidP="00EA58FA">
      <w:pPr>
        <w:numPr>
          <w:ilvl w:val="0"/>
          <w:numId w:val="15"/>
        </w:numPr>
        <w:spacing w:after="160"/>
        <w:jc w:val="both"/>
        <w:rPr>
          <w:rFonts w:ascii="Arial" w:hAnsi="Arial" w:cs="Arial"/>
          <w:sz w:val="22"/>
          <w:szCs w:val="22"/>
        </w:rPr>
      </w:pPr>
      <w:r w:rsidRPr="00EA58FA">
        <w:rPr>
          <w:rFonts w:ascii="Arial" w:hAnsi="Arial" w:cs="Arial"/>
          <w:sz w:val="22"/>
          <w:szCs w:val="22"/>
        </w:rPr>
        <w:t>Ambos jueces son del mismo despacho (ej. dos juzgados civiles municipales de la misma ciudad): el conflicto lo resuelve el Juzgado Civil del Circuito de esa ciudad.</w:t>
      </w:r>
    </w:p>
    <w:p w14:paraId="6C00C5F3" w14:textId="77777777" w:rsidR="00EA58FA" w:rsidRPr="00EA58FA" w:rsidRDefault="00EA58FA" w:rsidP="00EA58FA">
      <w:pPr>
        <w:numPr>
          <w:ilvl w:val="0"/>
          <w:numId w:val="15"/>
        </w:numPr>
        <w:spacing w:after="160"/>
        <w:jc w:val="both"/>
        <w:rPr>
          <w:rFonts w:ascii="Arial" w:hAnsi="Arial" w:cs="Arial"/>
          <w:sz w:val="22"/>
          <w:szCs w:val="22"/>
        </w:rPr>
      </w:pPr>
      <w:r w:rsidRPr="00EA58FA">
        <w:rPr>
          <w:rFonts w:ascii="Arial" w:hAnsi="Arial" w:cs="Arial"/>
          <w:sz w:val="22"/>
          <w:szCs w:val="22"/>
        </w:rPr>
        <w:t>Un juez municipal y un juez del circuito: lo resuelve el Tribunal Superior del Distrito Judicial.</w:t>
      </w:r>
    </w:p>
    <w:p w14:paraId="74B6F9FA" w14:textId="77777777" w:rsidR="00EA58FA" w:rsidRPr="00EA58FA" w:rsidRDefault="00EA58FA" w:rsidP="00EA58FA">
      <w:pPr>
        <w:numPr>
          <w:ilvl w:val="0"/>
          <w:numId w:val="15"/>
        </w:numPr>
        <w:spacing w:after="160"/>
        <w:jc w:val="both"/>
        <w:rPr>
          <w:rFonts w:ascii="Arial" w:hAnsi="Arial" w:cs="Arial"/>
          <w:sz w:val="22"/>
          <w:szCs w:val="22"/>
        </w:rPr>
      </w:pPr>
      <w:r w:rsidRPr="00EA58FA">
        <w:rPr>
          <w:rFonts w:ascii="Arial" w:hAnsi="Arial" w:cs="Arial"/>
          <w:sz w:val="22"/>
          <w:szCs w:val="22"/>
        </w:rPr>
        <w:t>Dos jueces del circuito de diferente distrito: lo resuelve el Tribunal Superior del Distrito donde se inició primero el proceso.</w:t>
      </w:r>
    </w:p>
    <w:p w14:paraId="2AA0F205" w14:textId="77777777" w:rsidR="00EA58FA" w:rsidRPr="00EA58FA" w:rsidRDefault="00EA58FA" w:rsidP="00EA58FA">
      <w:pPr>
        <w:numPr>
          <w:ilvl w:val="0"/>
          <w:numId w:val="15"/>
        </w:numPr>
        <w:spacing w:after="160"/>
        <w:jc w:val="both"/>
        <w:rPr>
          <w:rFonts w:ascii="Arial" w:hAnsi="Arial" w:cs="Arial"/>
          <w:sz w:val="22"/>
          <w:szCs w:val="22"/>
        </w:rPr>
      </w:pPr>
      <w:r w:rsidRPr="00EA58FA">
        <w:rPr>
          <w:rFonts w:ascii="Arial" w:hAnsi="Arial" w:cs="Arial"/>
          <w:sz w:val="22"/>
          <w:szCs w:val="22"/>
        </w:rPr>
        <w:t>Un juez y un Tribunal: lo resuelve la Corte Suprema de Justicia, Sala Civil.</w:t>
      </w:r>
    </w:p>
    <w:p w14:paraId="7B716994" w14:textId="77777777" w:rsidR="00EA58FA" w:rsidRPr="00EA58FA" w:rsidRDefault="00EA58FA" w:rsidP="00EA58FA">
      <w:pPr>
        <w:numPr>
          <w:ilvl w:val="0"/>
          <w:numId w:val="15"/>
        </w:numPr>
        <w:spacing w:after="160"/>
        <w:jc w:val="both"/>
        <w:rPr>
          <w:rFonts w:ascii="Arial" w:hAnsi="Arial" w:cs="Arial"/>
          <w:sz w:val="22"/>
          <w:szCs w:val="22"/>
        </w:rPr>
      </w:pPr>
      <w:r w:rsidRPr="00EA58FA">
        <w:rPr>
          <w:rFonts w:ascii="Arial" w:hAnsi="Arial" w:cs="Arial"/>
          <w:sz w:val="22"/>
          <w:szCs w:val="22"/>
        </w:rPr>
        <w:t>Jueces de diferente jurisdicción (ej. civil vs. administrativo): la Sala Disciplinaria del Consejo Superior de la Judicatura era el organismo competente; con la reforma (Acto Legislativo 02 de 2015), esta función paso al Consejo de Estado o a la Corte Suprema según el caso.</w:t>
      </w:r>
    </w:p>
    <w:p w14:paraId="48EC42B5"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u w:val="single"/>
        </w:rPr>
        <w:t>2.6.4 Efectos del Conflicto de Competencia sobre el Proceso</w:t>
      </w:r>
    </w:p>
    <w:p w14:paraId="2AC801FB"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Mientras se resuelve el conflicto de competencia, los efectos procesales son los siguientes:</w:t>
      </w: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EA58FA" w:rsidRPr="00EA58FA" w14:paraId="004A81DB"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DEDEC"/>
            <w:tcMar>
              <w:top w:w="140" w:type="dxa"/>
              <w:left w:w="200" w:type="dxa"/>
              <w:bottom w:w="140" w:type="dxa"/>
              <w:right w:w="200" w:type="dxa"/>
            </w:tcMar>
            <w:hideMark/>
          </w:tcPr>
          <w:p w14:paraId="5600C70F"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EFECTOS DEL CONFLICTO DE COMPETENCIA (Art. 142 CGP)</w:t>
            </w:r>
          </w:p>
          <w:p w14:paraId="76E17239" w14:textId="77777777" w:rsidR="00EA58FA" w:rsidRPr="00EA58FA" w:rsidRDefault="00EA58FA" w:rsidP="00EA58FA">
            <w:pPr>
              <w:numPr>
                <w:ilvl w:val="0"/>
                <w:numId w:val="16"/>
              </w:numPr>
              <w:spacing w:after="160"/>
              <w:jc w:val="both"/>
              <w:rPr>
                <w:rFonts w:ascii="Arial" w:hAnsi="Arial" w:cs="Arial"/>
                <w:sz w:val="22"/>
                <w:szCs w:val="22"/>
              </w:rPr>
            </w:pPr>
            <w:r w:rsidRPr="00EA58FA">
              <w:rPr>
                <w:rFonts w:ascii="Arial" w:hAnsi="Arial" w:cs="Arial"/>
                <w:sz w:val="22"/>
                <w:szCs w:val="22"/>
              </w:rPr>
              <w:t>El proceso queda SUSPENDIDO: no se pueden practicar pruebas ni dictar sentencias de fondo.</w:t>
            </w:r>
          </w:p>
          <w:p w14:paraId="41E7E480" w14:textId="77777777" w:rsidR="00EA58FA" w:rsidRPr="00EA58FA" w:rsidRDefault="00EA58FA" w:rsidP="00EA58FA">
            <w:pPr>
              <w:numPr>
                <w:ilvl w:val="0"/>
                <w:numId w:val="16"/>
              </w:numPr>
              <w:spacing w:after="160"/>
              <w:jc w:val="both"/>
              <w:rPr>
                <w:rFonts w:ascii="Arial" w:hAnsi="Arial" w:cs="Arial"/>
                <w:sz w:val="22"/>
                <w:szCs w:val="22"/>
              </w:rPr>
            </w:pPr>
            <w:r w:rsidRPr="00EA58FA">
              <w:rPr>
                <w:rFonts w:ascii="Arial" w:hAnsi="Arial" w:cs="Arial"/>
                <w:sz w:val="22"/>
                <w:szCs w:val="22"/>
              </w:rPr>
              <w:t>Se CONSERVAN las medidas cautelares ya decretadas: la suspensión no levanta los embargos o secuestros ordenados.</w:t>
            </w:r>
          </w:p>
          <w:p w14:paraId="7835DCA3" w14:textId="77777777" w:rsidR="00EA58FA" w:rsidRPr="00EA58FA" w:rsidRDefault="00EA58FA" w:rsidP="00EA58FA">
            <w:pPr>
              <w:numPr>
                <w:ilvl w:val="0"/>
                <w:numId w:val="16"/>
              </w:numPr>
              <w:spacing w:after="160"/>
              <w:jc w:val="both"/>
              <w:rPr>
                <w:rFonts w:ascii="Arial" w:hAnsi="Arial" w:cs="Arial"/>
                <w:sz w:val="22"/>
                <w:szCs w:val="22"/>
              </w:rPr>
            </w:pPr>
            <w:r w:rsidRPr="00EA58FA">
              <w:rPr>
                <w:rFonts w:ascii="Arial" w:hAnsi="Arial" w:cs="Arial"/>
                <w:sz w:val="22"/>
                <w:szCs w:val="22"/>
              </w:rPr>
              <w:t>Se pueden practicar pruebas urgentes que puedan desaparecer.</w:t>
            </w:r>
          </w:p>
          <w:p w14:paraId="455E46C3" w14:textId="77777777" w:rsidR="00EA58FA" w:rsidRPr="00EA58FA" w:rsidRDefault="00EA58FA" w:rsidP="00EA58FA">
            <w:pPr>
              <w:numPr>
                <w:ilvl w:val="0"/>
                <w:numId w:val="16"/>
              </w:numPr>
              <w:spacing w:after="160"/>
              <w:jc w:val="both"/>
              <w:rPr>
                <w:rFonts w:ascii="Arial" w:hAnsi="Arial" w:cs="Arial"/>
                <w:sz w:val="22"/>
                <w:szCs w:val="22"/>
              </w:rPr>
            </w:pPr>
            <w:r w:rsidRPr="00EA58FA">
              <w:rPr>
                <w:rFonts w:ascii="Arial" w:hAnsi="Arial" w:cs="Arial"/>
                <w:sz w:val="22"/>
                <w:szCs w:val="22"/>
              </w:rPr>
              <w:t>Los términos procesales se suspenden hasta la decisión del superior.</w:t>
            </w:r>
          </w:p>
          <w:p w14:paraId="4CCD6FE5" w14:textId="77777777" w:rsidR="00EA58FA" w:rsidRPr="00EA58FA" w:rsidRDefault="00EA58FA" w:rsidP="00EA58FA">
            <w:pPr>
              <w:numPr>
                <w:ilvl w:val="0"/>
                <w:numId w:val="16"/>
              </w:numPr>
              <w:spacing w:after="160"/>
              <w:jc w:val="both"/>
              <w:rPr>
                <w:rFonts w:ascii="Arial" w:hAnsi="Arial" w:cs="Arial"/>
                <w:sz w:val="22"/>
                <w:szCs w:val="22"/>
              </w:rPr>
            </w:pPr>
            <w:r w:rsidRPr="00EA58FA">
              <w:rPr>
                <w:rFonts w:ascii="Arial" w:hAnsi="Arial" w:cs="Arial"/>
                <w:sz w:val="22"/>
                <w:szCs w:val="22"/>
              </w:rPr>
              <w:t>La decisión del superior es de cumplimiento inmediato y NO admite recursos.</w:t>
            </w:r>
          </w:p>
        </w:tc>
      </w:tr>
    </w:tbl>
    <w:p w14:paraId="456463FC" w14:textId="77777777" w:rsidR="00EA58FA" w:rsidRPr="00EA58FA" w:rsidRDefault="00EA58FA" w:rsidP="00EA58FA">
      <w:pPr>
        <w:jc w:val="both"/>
        <w:rPr>
          <w:rFonts w:ascii="Arial" w:hAnsi="Arial" w:cs="Arial"/>
          <w:sz w:val="22"/>
          <w:szCs w:val="22"/>
        </w:rPr>
      </w:pPr>
    </w:p>
    <w:p w14:paraId="375C8195"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u w:val="single"/>
        </w:rPr>
        <w:t>2.6.5 Impedimentos y Recusaciones: Figuras Conexas</w:t>
      </w:r>
    </w:p>
    <w:p w14:paraId="72E3FA7B"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Aunque no son conflictos de competencia en sentido estricto, los impedimentos y recusaciones tambien pueden generar el desplazamiento de la competencia de un juez a otro. El artículo 141 del CGP regula las causales de impedimento y el articulo 144 regula la recusación.</w:t>
      </w:r>
    </w:p>
    <w:p w14:paraId="2F0D3A38" w14:textId="77777777" w:rsidR="00EA58FA" w:rsidRPr="00EA58FA" w:rsidRDefault="00EA58FA" w:rsidP="00EA58FA">
      <w:pPr>
        <w:numPr>
          <w:ilvl w:val="0"/>
          <w:numId w:val="17"/>
        </w:numPr>
        <w:spacing w:after="160"/>
        <w:jc w:val="both"/>
        <w:rPr>
          <w:rFonts w:ascii="Arial" w:hAnsi="Arial" w:cs="Arial"/>
          <w:sz w:val="22"/>
          <w:szCs w:val="22"/>
        </w:rPr>
      </w:pPr>
      <w:r w:rsidRPr="00EA58FA">
        <w:rPr>
          <w:rFonts w:ascii="Arial" w:hAnsi="Arial" w:cs="Arial"/>
          <w:sz w:val="22"/>
          <w:szCs w:val="22"/>
        </w:rPr>
        <w:t>IMPEDIMENTO: el juez que se encuentra en una de las causales del Art. 141 CGP (por parentesco, interés en el proceso, haber conocido del asunto en otra instancia, etc.) DEBE declararse impedido de oficio y pasar el proceso a otro juez.</w:t>
      </w:r>
    </w:p>
    <w:p w14:paraId="297F41CC" w14:textId="77777777" w:rsidR="00EA58FA" w:rsidRPr="00EA58FA" w:rsidRDefault="00EA58FA" w:rsidP="00EA58FA">
      <w:pPr>
        <w:numPr>
          <w:ilvl w:val="0"/>
          <w:numId w:val="17"/>
        </w:numPr>
        <w:spacing w:after="160"/>
        <w:jc w:val="both"/>
        <w:rPr>
          <w:rFonts w:ascii="Arial" w:hAnsi="Arial" w:cs="Arial"/>
          <w:sz w:val="22"/>
          <w:szCs w:val="22"/>
        </w:rPr>
      </w:pPr>
      <w:r w:rsidRPr="00EA58FA">
        <w:rPr>
          <w:rFonts w:ascii="Arial" w:hAnsi="Arial" w:cs="Arial"/>
          <w:sz w:val="22"/>
          <w:szCs w:val="22"/>
        </w:rPr>
        <w:t>RECUSACIÓN: cuando el juez no se declara impedido a pesar de estarlo, cualquiera de las partes puede recusarlo, forzando el cambio de juez.</w:t>
      </w:r>
    </w:p>
    <w:p w14:paraId="120C0594" w14:textId="77777777" w:rsidR="00EA58FA" w:rsidRPr="00EA58FA" w:rsidRDefault="00EA58FA" w:rsidP="00EA58FA">
      <w:pPr>
        <w:jc w:val="both"/>
        <w:rPr>
          <w:rFonts w:ascii="Arial" w:hAnsi="Arial" w:cs="Arial"/>
          <w:b/>
          <w:bCs/>
          <w:sz w:val="22"/>
          <w:szCs w:val="22"/>
        </w:rPr>
      </w:pPr>
      <w:r w:rsidRPr="00EA58FA">
        <w:rPr>
          <w:rFonts w:ascii="Arial" w:hAnsi="Arial" w:cs="Arial"/>
          <w:b/>
          <w:bCs/>
          <w:sz w:val="22"/>
          <w:szCs w:val="22"/>
        </w:rPr>
        <w:t>CAPSULA 2.7</w:t>
      </w:r>
    </w:p>
    <w:p w14:paraId="723EC9C4" w14:textId="77777777" w:rsidR="00EA58FA" w:rsidRPr="00EA58FA" w:rsidRDefault="00EA58FA" w:rsidP="00EA58FA">
      <w:pPr>
        <w:jc w:val="both"/>
        <w:rPr>
          <w:rFonts w:ascii="Arial" w:hAnsi="Arial" w:cs="Arial"/>
          <w:b/>
          <w:bCs/>
          <w:sz w:val="22"/>
          <w:szCs w:val="22"/>
        </w:rPr>
      </w:pPr>
      <w:proofErr w:type="spellStart"/>
      <w:r w:rsidRPr="00EA58FA">
        <w:rPr>
          <w:rFonts w:ascii="Arial" w:hAnsi="Arial" w:cs="Arial"/>
          <w:b/>
          <w:bCs/>
          <w:sz w:val="22"/>
          <w:szCs w:val="22"/>
        </w:rPr>
        <w:t>PERPETUATIO</w:t>
      </w:r>
      <w:proofErr w:type="spellEnd"/>
      <w:r w:rsidRPr="00EA58FA">
        <w:rPr>
          <w:rFonts w:ascii="Arial" w:hAnsi="Arial" w:cs="Arial"/>
          <w:b/>
          <w:bCs/>
          <w:sz w:val="22"/>
          <w:szCs w:val="22"/>
        </w:rPr>
        <w:t xml:space="preserve"> </w:t>
      </w:r>
      <w:proofErr w:type="spellStart"/>
      <w:r w:rsidRPr="00EA58FA">
        <w:rPr>
          <w:rFonts w:ascii="Arial" w:hAnsi="Arial" w:cs="Arial"/>
          <w:b/>
          <w:bCs/>
          <w:sz w:val="22"/>
          <w:szCs w:val="22"/>
        </w:rPr>
        <w:t>JURISDICTIONIS</w:t>
      </w:r>
      <w:proofErr w:type="spellEnd"/>
      <w:r w:rsidRPr="00EA58FA">
        <w:rPr>
          <w:rFonts w:ascii="Arial" w:hAnsi="Arial" w:cs="Arial"/>
          <w:b/>
          <w:bCs/>
          <w:sz w:val="22"/>
          <w:szCs w:val="22"/>
        </w:rPr>
        <w:t xml:space="preserve">: LA </w:t>
      </w:r>
      <w:proofErr w:type="spellStart"/>
      <w:r w:rsidRPr="00EA58FA">
        <w:rPr>
          <w:rFonts w:ascii="Arial" w:hAnsi="Arial" w:cs="Arial"/>
          <w:b/>
          <w:bCs/>
          <w:sz w:val="22"/>
          <w:szCs w:val="22"/>
        </w:rPr>
        <w:t>INMODIFICABILIDAD</w:t>
      </w:r>
      <w:proofErr w:type="spellEnd"/>
      <w:r w:rsidRPr="00EA58FA">
        <w:rPr>
          <w:rFonts w:ascii="Arial" w:hAnsi="Arial" w:cs="Arial"/>
          <w:b/>
          <w:bCs/>
          <w:sz w:val="22"/>
          <w:szCs w:val="22"/>
        </w:rPr>
        <w:t xml:space="preserve"> DE LA COMPETENCIA</w:t>
      </w:r>
    </w:p>
    <w:p w14:paraId="6DCF5D96"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u w:val="single"/>
        </w:rPr>
        <w:t xml:space="preserve">2.7.1 El Principio de la </w:t>
      </w:r>
      <w:proofErr w:type="spellStart"/>
      <w:r w:rsidRPr="00EA58FA">
        <w:rPr>
          <w:rFonts w:ascii="Arial" w:hAnsi="Arial" w:cs="Arial"/>
          <w:b/>
          <w:bCs/>
          <w:sz w:val="22"/>
          <w:szCs w:val="22"/>
          <w:u w:val="single"/>
        </w:rPr>
        <w:t>Perpetuatio</w:t>
      </w:r>
      <w:proofErr w:type="spellEnd"/>
      <w:r w:rsidRPr="00EA58FA">
        <w:rPr>
          <w:rFonts w:ascii="Arial" w:hAnsi="Arial" w:cs="Arial"/>
          <w:b/>
          <w:bCs/>
          <w:sz w:val="22"/>
          <w:szCs w:val="22"/>
          <w:u w:val="single"/>
        </w:rPr>
        <w:t xml:space="preserve"> </w:t>
      </w:r>
      <w:proofErr w:type="spellStart"/>
      <w:r w:rsidRPr="00EA58FA">
        <w:rPr>
          <w:rFonts w:ascii="Arial" w:hAnsi="Arial" w:cs="Arial"/>
          <w:b/>
          <w:bCs/>
          <w:sz w:val="22"/>
          <w:szCs w:val="22"/>
          <w:u w:val="single"/>
        </w:rPr>
        <w:t>Jurisdictionis</w:t>
      </w:r>
      <w:proofErr w:type="spellEnd"/>
    </w:p>
    <w:p w14:paraId="47462739"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lastRenderedPageBreak/>
        <w:t xml:space="preserve">El termino latino </w:t>
      </w:r>
      <w:proofErr w:type="spellStart"/>
      <w:r w:rsidRPr="00EA58FA">
        <w:rPr>
          <w:rFonts w:ascii="Arial" w:hAnsi="Arial" w:cs="Arial"/>
          <w:sz w:val="22"/>
          <w:szCs w:val="22"/>
        </w:rPr>
        <w:t>perpetuatio</w:t>
      </w:r>
      <w:proofErr w:type="spellEnd"/>
      <w:r w:rsidRPr="00EA58FA">
        <w:rPr>
          <w:rFonts w:ascii="Arial" w:hAnsi="Arial" w:cs="Arial"/>
          <w:sz w:val="22"/>
          <w:szCs w:val="22"/>
        </w:rPr>
        <w:t xml:space="preserve"> </w:t>
      </w:r>
      <w:proofErr w:type="spellStart"/>
      <w:r w:rsidRPr="00EA58FA">
        <w:rPr>
          <w:rFonts w:ascii="Arial" w:hAnsi="Arial" w:cs="Arial"/>
          <w:sz w:val="22"/>
          <w:szCs w:val="22"/>
        </w:rPr>
        <w:t>jurisdictionis</w:t>
      </w:r>
      <w:proofErr w:type="spellEnd"/>
      <w:r w:rsidRPr="00EA58FA">
        <w:rPr>
          <w:rFonts w:ascii="Arial" w:hAnsi="Arial" w:cs="Arial"/>
          <w:sz w:val="22"/>
          <w:szCs w:val="22"/>
        </w:rPr>
        <w:t xml:space="preserve"> se traduce como '</w:t>
      </w:r>
      <w:proofErr w:type="spellStart"/>
      <w:r w:rsidRPr="00EA58FA">
        <w:rPr>
          <w:rFonts w:ascii="Arial" w:hAnsi="Arial" w:cs="Arial"/>
          <w:sz w:val="22"/>
          <w:szCs w:val="22"/>
        </w:rPr>
        <w:t>perpetuacion</w:t>
      </w:r>
      <w:proofErr w:type="spellEnd"/>
      <w:r w:rsidRPr="00EA58FA">
        <w:rPr>
          <w:rFonts w:ascii="Arial" w:hAnsi="Arial" w:cs="Arial"/>
          <w:sz w:val="22"/>
          <w:szCs w:val="22"/>
        </w:rPr>
        <w:t xml:space="preserve"> de la jurisdicción' y es uno de los principios más importantes y a la vez menos conocidos del Derecho Procesal. Su formulación es sencilla pero de profundas consecuencias prácticas:</w:t>
      </w: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EA58FA" w:rsidRPr="00EA58FA" w14:paraId="4C24FAEA"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EBF4FB"/>
            <w:tcMar>
              <w:top w:w="140" w:type="dxa"/>
              <w:left w:w="200" w:type="dxa"/>
              <w:bottom w:w="140" w:type="dxa"/>
              <w:right w:w="200" w:type="dxa"/>
            </w:tcMar>
            <w:hideMark/>
          </w:tcPr>
          <w:p w14:paraId="695B868D" w14:textId="77777777" w:rsidR="00EA58FA" w:rsidRPr="00EA58FA" w:rsidRDefault="00EA58FA" w:rsidP="00EA58FA">
            <w:pPr>
              <w:jc w:val="both"/>
              <w:rPr>
                <w:rFonts w:ascii="Arial" w:hAnsi="Arial" w:cs="Arial"/>
                <w:sz w:val="22"/>
                <w:szCs w:val="22"/>
              </w:rPr>
            </w:pPr>
            <w:r w:rsidRPr="00EA58FA">
              <w:rPr>
                <w:rFonts w:ascii="Arial" w:hAnsi="Arial" w:cs="Arial"/>
                <w:b/>
                <w:bCs/>
                <w:i/>
                <w:iCs/>
                <w:sz w:val="22"/>
                <w:szCs w:val="22"/>
              </w:rPr>
              <w:t>"Una vez radicada válidamente la demanda ante el juez competente, los cambios de hecho o de derecho que ocurran con posterioridad no alteran la competencia."</w:t>
            </w:r>
          </w:p>
          <w:p w14:paraId="7745CF0C"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 xml:space="preserve">Principio de </w:t>
            </w:r>
            <w:proofErr w:type="spellStart"/>
            <w:r w:rsidRPr="00EA58FA">
              <w:rPr>
                <w:rFonts w:ascii="Arial" w:hAnsi="Arial" w:cs="Arial"/>
                <w:sz w:val="22"/>
                <w:szCs w:val="22"/>
              </w:rPr>
              <w:t>Perpetuatio</w:t>
            </w:r>
            <w:proofErr w:type="spellEnd"/>
            <w:r w:rsidRPr="00EA58FA">
              <w:rPr>
                <w:rFonts w:ascii="Arial" w:hAnsi="Arial" w:cs="Arial"/>
                <w:sz w:val="22"/>
                <w:szCs w:val="22"/>
              </w:rPr>
              <w:t xml:space="preserve"> </w:t>
            </w:r>
            <w:proofErr w:type="spellStart"/>
            <w:r w:rsidRPr="00EA58FA">
              <w:rPr>
                <w:rFonts w:ascii="Arial" w:hAnsi="Arial" w:cs="Arial"/>
                <w:sz w:val="22"/>
                <w:szCs w:val="22"/>
              </w:rPr>
              <w:t>Jurisdictionis</w:t>
            </w:r>
            <w:proofErr w:type="spellEnd"/>
            <w:r w:rsidRPr="00EA58FA">
              <w:rPr>
                <w:rFonts w:ascii="Arial" w:hAnsi="Arial" w:cs="Arial"/>
                <w:sz w:val="22"/>
                <w:szCs w:val="22"/>
              </w:rPr>
              <w:t>. Art. 16 CGP (aplicación implícita). Construido por la jurisprudencia de la Corte Suprema de Justicia.</w:t>
            </w:r>
          </w:p>
        </w:tc>
      </w:tr>
    </w:tbl>
    <w:p w14:paraId="41BAD114" w14:textId="77777777" w:rsidR="00EA58FA" w:rsidRPr="00EA58FA" w:rsidRDefault="00EA58FA" w:rsidP="00EA58FA">
      <w:pPr>
        <w:jc w:val="both"/>
        <w:rPr>
          <w:rFonts w:ascii="Arial" w:hAnsi="Arial" w:cs="Arial"/>
          <w:sz w:val="22"/>
          <w:szCs w:val="22"/>
        </w:rPr>
      </w:pPr>
    </w:p>
    <w:p w14:paraId="36F3BF96"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u w:val="single"/>
        </w:rPr>
        <w:t>2.7.2 Fundamento Legal en Colombia</w:t>
      </w:r>
    </w:p>
    <w:p w14:paraId="4009B6BB"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 xml:space="preserve">El principio de </w:t>
      </w:r>
      <w:proofErr w:type="spellStart"/>
      <w:r w:rsidRPr="00EA58FA">
        <w:rPr>
          <w:rFonts w:ascii="Arial" w:hAnsi="Arial" w:cs="Arial"/>
          <w:sz w:val="22"/>
          <w:szCs w:val="22"/>
        </w:rPr>
        <w:t>perpetuatio</w:t>
      </w:r>
      <w:proofErr w:type="spellEnd"/>
      <w:r w:rsidRPr="00EA58FA">
        <w:rPr>
          <w:rFonts w:ascii="Arial" w:hAnsi="Arial" w:cs="Arial"/>
          <w:sz w:val="22"/>
          <w:szCs w:val="22"/>
        </w:rPr>
        <w:t xml:space="preserve"> </w:t>
      </w:r>
      <w:proofErr w:type="spellStart"/>
      <w:r w:rsidRPr="00EA58FA">
        <w:rPr>
          <w:rFonts w:ascii="Arial" w:hAnsi="Arial" w:cs="Arial"/>
          <w:sz w:val="22"/>
          <w:szCs w:val="22"/>
        </w:rPr>
        <w:t>jurisdictionis</w:t>
      </w:r>
      <w:proofErr w:type="spellEnd"/>
      <w:r w:rsidRPr="00EA58FA">
        <w:rPr>
          <w:rFonts w:ascii="Arial" w:hAnsi="Arial" w:cs="Arial"/>
          <w:sz w:val="22"/>
          <w:szCs w:val="22"/>
        </w:rPr>
        <w:t xml:space="preserve"> no tiene una norma expresa con ese nombre en el CGP, pero se deriva de la interpretación sistemática del artículo 40 del CGP (vigencia de las leyes procesales), del articulo 16 (competencia por cuantia determinada al momento de la presentación de la demanda) y de la jurisprudencia consolidada de la Corte Suprema de Justicia.</w:t>
      </w:r>
    </w:p>
    <w:p w14:paraId="4FB40A96"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 xml:space="preserve">El artículo 26, inciso 3 del CGP es quizás la norma más explícita: la cuantia para determinar la competencia se fija al momento de presentar la demanda y no se modifica por causas sobrevinientes. Esta regla es la expresión más concreta del principio de </w:t>
      </w:r>
      <w:proofErr w:type="spellStart"/>
      <w:r w:rsidRPr="00EA58FA">
        <w:rPr>
          <w:rFonts w:ascii="Arial" w:hAnsi="Arial" w:cs="Arial"/>
          <w:sz w:val="22"/>
          <w:szCs w:val="22"/>
        </w:rPr>
        <w:t>perpetuatio</w:t>
      </w:r>
      <w:proofErr w:type="spellEnd"/>
      <w:r w:rsidRPr="00EA58FA">
        <w:rPr>
          <w:rFonts w:ascii="Arial" w:hAnsi="Arial" w:cs="Arial"/>
          <w:sz w:val="22"/>
          <w:szCs w:val="22"/>
        </w:rPr>
        <w:t xml:space="preserve"> </w:t>
      </w:r>
      <w:proofErr w:type="spellStart"/>
      <w:r w:rsidRPr="00EA58FA">
        <w:rPr>
          <w:rFonts w:ascii="Arial" w:hAnsi="Arial" w:cs="Arial"/>
          <w:sz w:val="22"/>
          <w:szCs w:val="22"/>
        </w:rPr>
        <w:t>jurisdictionis</w:t>
      </w:r>
      <w:proofErr w:type="spellEnd"/>
      <w:r w:rsidRPr="00EA58FA">
        <w:rPr>
          <w:rFonts w:ascii="Arial" w:hAnsi="Arial" w:cs="Arial"/>
          <w:sz w:val="22"/>
          <w:szCs w:val="22"/>
        </w:rPr>
        <w:t xml:space="preserve"> en el CGP.</w:t>
      </w:r>
    </w:p>
    <w:p w14:paraId="4906F07D"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u w:val="single"/>
        </w:rPr>
        <w:t>2.7.3 Casos de Aplicación Practica</w:t>
      </w:r>
    </w:p>
    <w:p w14:paraId="2A44B6A4"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 xml:space="preserve">La </w:t>
      </w:r>
      <w:proofErr w:type="spellStart"/>
      <w:r w:rsidRPr="00EA58FA">
        <w:rPr>
          <w:rFonts w:ascii="Arial" w:hAnsi="Arial" w:cs="Arial"/>
          <w:sz w:val="22"/>
          <w:szCs w:val="22"/>
        </w:rPr>
        <w:t>perpetuatio</w:t>
      </w:r>
      <w:proofErr w:type="spellEnd"/>
      <w:r w:rsidRPr="00EA58FA">
        <w:rPr>
          <w:rFonts w:ascii="Arial" w:hAnsi="Arial" w:cs="Arial"/>
          <w:sz w:val="22"/>
          <w:szCs w:val="22"/>
        </w:rPr>
        <w:t xml:space="preserve"> </w:t>
      </w:r>
      <w:proofErr w:type="spellStart"/>
      <w:r w:rsidRPr="00EA58FA">
        <w:rPr>
          <w:rFonts w:ascii="Arial" w:hAnsi="Arial" w:cs="Arial"/>
          <w:sz w:val="22"/>
          <w:szCs w:val="22"/>
        </w:rPr>
        <w:t>jurisdictionis</w:t>
      </w:r>
      <w:proofErr w:type="spellEnd"/>
      <w:r w:rsidRPr="00EA58FA">
        <w:rPr>
          <w:rFonts w:ascii="Arial" w:hAnsi="Arial" w:cs="Arial"/>
          <w:sz w:val="22"/>
          <w:szCs w:val="22"/>
        </w:rPr>
        <w:t xml:space="preserve"> tiene aplicaciones en múltiples escenarios del proceso civil. Los más importantes son:</w:t>
      </w: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EA58FA" w:rsidRPr="00EA58FA" w14:paraId="3D8263A7"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D0E8F7"/>
            <w:tcMar>
              <w:top w:w="140" w:type="dxa"/>
              <w:left w:w="200" w:type="dxa"/>
              <w:bottom w:w="140" w:type="dxa"/>
              <w:right w:w="200" w:type="dxa"/>
            </w:tcMar>
            <w:hideMark/>
          </w:tcPr>
          <w:p w14:paraId="291F7324"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 xml:space="preserve">ESCENARIOS DE APLICACIÓN DE LA </w:t>
            </w:r>
            <w:proofErr w:type="spellStart"/>
            <w:r w:rsidRPr="00EA58FA">
              <w:rPr>
                <w:rFonts w:ascii="Arial" w:hAnsi="Arial" w:cs="Arial"/>
                <w:b/>
                <w:bCs/>
                <w:sz w:val="22"/>
                <w:szCs w:val="22"/>
              </w:rPr>
              <w:t>PERPETUATIO</w:t>
            </w:r>
            <w:proofErr w:type="spellEnd"/>
            <w:r w:rsidRPr="00EA58FA">
              <w:rPr>
                <w:rFonts w:ascii="Arial" w:hAnsi="Arial" w:cs="Arial"/>
                <w:b/>
                <w:bCs/>
                <w:sz w:val="22"/>
                <w:szCs w:val="22"/>
              </w:rPr>
              <w:t xml:space="preserve"> </w:t>
            </w:r>
            <w:proofErr w:type="spellStart"/>
            <w:r w:rsidRPr="00EA58FA">
              <w:rPr>
                <w:rFonts w:ascii="Arial" w:hAnsi="Arial" w:cs="Arial"/>
                <w:b/>
                <w:bCs/>
                <w:sz w:val="22"/>
                <w:szCs w:val="22"/>
              </w:rPr>
              <w:t>JURISDICTIONIS</w:t>
            </w:r>
            <w:proofErr w:type="spellEnd"/>
          </w:p>
          <w:p w14:paraId="36910372"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 xml:space="preserve">CASO 1 - Cambio de domicilio del demandado: </w:t>
            </w:r>
            <w:r w:rsidRPr="00EA58FA">
              <w:rPr>
                <w:rFonts w:ascii="Arial" w:hAnsi="Arial" w:cs="Arial"/>
                <w:sz w:val="22"/>
                <w:szCs w:val="22"/>
              </w:rPr>
              <w:t>Andrea demanda a Bernardo ante el Juzgado Civil Municipal de Bogotá (domicilio de Bernardo). Durante el proceso, Bernardo traslada su domicilio a Medellin. CONSECUENCIA: El juzgado de Bogotá conserva la competencia. Bernardo no puede 'escaparse' del juez cambiando de ciudad.</w:t>
            </w:r>
          </w:p>
          <w:p w14:paraId="743DFE4F" w14:textId="77777777" w:rsidR="00EA58FA" w:rsidRPr="00EA58FA" w:rsidRDefault="00EA58FA" w:rsidP="00EA58FA">
            <w:pPr>
              <w:jc w:val="both"/>
              <w:rPr>
                <w:rFonts w:ascii="Arial" w:hAnsi="Arial" w:cs="Arial"/>
                <w:sz w:val="22"/>
                <w:szCs w:val="22"/>
              </w:rPr>
            </w:pPr>
          </w:p>
          <w:p w14:paraId="09520AFF"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 xml:space="preserve">CASO 2 - Cambio en la cuantia: </w:t>
            </w:r>
            <w:r w:rsidRPr="00EA58FA">
              <w:rPr>
                <w:rFonts w:ascii="Arial" w:hAnsi="Arial" w:cs="Arial"/>
                <w:sz w:val="22"/>
                <w:szCs w:val="22"/>
              </w:rPr>
              <w:t>Carlos demanda a Diana por $100 millones (menor cuantia) ante el Juzgado Civil Municipal. Durante el proceso, una pericia establece que los perjuicios reales son $500 millones. CONSECUENCIA: El Juzgado Municipal conserva la competencia. La cuantia se fijó al momento de la demanda y no cambia.</w:t>
            </w:r>
          </w:p>
          <w:p w14:paraId="2B7C9A80"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 xml:space="preserve">CASO 3 - Cambio legislativo que altera la competencia: </w:t>
            </w:r>
            <w:r w:rsidRPr="00EA58FA">
              <w:rPr>
                <w:rFonts w:ascii="Arial" w:hAnsi="Arial" w:cs="Arial"/>
                <w:sz w:val="22"/>
                <w:szCs w:val="22"/>
              </w:rPr>
              <w:t>Una ley nueva reasigna los procesos de cierto tipo a una jurisdicción diferente. CONSECUENCIA: Si el proceso ya fue iniciado bajo la ley anterior, en principio continua ante el juez que ya lo conocía (Art. 40 CGP: ultraactividad de la ley procesal para los procesos en curso, salvo norma expresa que ordene la remisión).</w:t>
            </w:r>
          </w:p>
          <w:p w14:paraId="663FED60"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rPr>
              <w:t xml:space="preserve">CASO 4 - Acumulación sobreviniente de pretensiones: </w:t>
            </w:r>
            <w:r w:rsidRPr="00EA58FA">
              <w:rPr>
                <w:rFonts w:ascii="Arial" w:hAnsi="Arial" w:cs="Arial"/>
                <w:sz w:val="22"/>
                <w:szCs w:val="22"/>
              </w:rPr>
              <w:t>El demandante presenta una demanda de menor cuantia. Luego solicita adicionar una pretensión que eleva la cuantia a mayor cuantia. CONSECUENCIA: El juez que ya conocía del proceso conserva la competencia si la adición fue posterior al auto admisorio. Si es anterior, debe recalcular la cuantia y determinar la competencia con el total.</w:t>
            </w:r>
          </w:p>
        </w:tc>
      </w:tr>
    </w:tbl>
    <w:p w14:paraId="4E35C719" w14:textId="77777777" w:rsidR="00EA58FA" w:rsidRPr="00EA58FA" w:rsidRDefault="00EA58FA" w:rsidP="00EA58FA">
      <w:pPr>
        <w:jc w:val="both"/>
        <w:rPr>
          <w:rFonts w:ascii="Arial" w:hAnsi="Arial" w:cs="Arial"/>
          <w:sz w:val="22"/>
          <w:szCs w:val="22"/>
        </w:rPr>
      </w:pPr>
    </w:p>
    <w:p w14:paraId="0023E43A"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u w:val="single"/>
        </w:rPr>
        <w:t xml:space="preserve">2.7.4 Limites de la </w:t>
      </w:r>
      <w:proofErr w:type="spellStart"/>
      <w:r w:rsidRPr="00EA58FA">
        <w:rPr>
          <w:rFonts w:ascii="Arial" w:hAnsi="Arial" w:cs="Arial"/>
          <w:b/>
          <w:bCs/>
          <w:sz w:val="22"/>
          <w:szCs w:val="22"/>
          <w:u w:val="single"/>
        </w:rPr>
        <w:t>Perpetuatio</w:t>
      </w:r>
      <w:proofErr w:type="spellEnd"/>
      <w:r w:rsidRPr="00EA58FA">
        <w:rPr>
          <w:rFonts w:ascii="Arial" w:hAnsi="Arial" w:cs="Arial"/>
          <w:b/>
          <w:bCs/>
          <w:sz w:val="22"/>
          <w:szCs w:val="22"/>
          <w:u w:val="single"/>
        </w:rPr>
        <w:t xml:space="preserve"> </w:t>
      </w:r>
      <w:proofErr w:type="spellStart"/>
      <w:r w:rsidRPr="00EA58FA">
        <w:rPr>
          <w:rFonts w:ascii="Arial" w:hAnsi="Arial" w:cs="Arial"/>
          <w:b/>
          <w:bCs/>
          <w:sz w:val="22"/>
          <w:szCs w:val="22"/>
          <w:u w:val="single"/>
        </w:rPr>
        <w:t>Jurisdictionis</w:t>
      </w:r>
      <w:proofErr w:type="spellEnd"/>
    </w:p>
    <w:p w14:paraId="7BF725E3"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El principio no es absoluto. Hay situaciones en que la competencia SI debe modificarse a pesar de estar el proceso en curso:</w:t>
      </w:r>
    </w:p>
    <w:p w14:paraId="537564BC" w14:textId="77777777" w:rsidR="00EA58FA" w:rsidRPr="00EA58FA" w:rsidRDefault="00EA58FA" w:rsidP="00EA58FA">
      <w:pPr>
        <w:numPr>
          <w:ilvl w:val="0"/>
          <w:numId w:val="18"/>
        </w:numPr>
        <w:spacing w:after="160"/>
        <w:jc w:val="both"/>
        <w:rPr>
          <w:rFonts w:ascii="Arial" w:hAnsi="Arial" w:cs="Arial"/>
          <w:sz w:val="22"/>
          <w:szCs w:val="22"/>
        </w:rPr>
      </w:pPr>
      <w:r w:rsidRPr="00EA58FA">
        <w:rPr>
          <w:rFonts w:ascii="Arial" w:hAnsi="Arial" w:cs="Arial"/>
          <w:sz w:val="22"/>
          <w:szCs w:val="22"/>
        </w:rPr>
        <w:lastRenderedPageBreak/>
        <w:t>Nulidad insanable por falta de competencia absoluta: si se descubre que el juez que conoció del proceso jamás tuvo competencia (por factor objetivo, subjetivo o funcional), debe declararse la nulidad, incluso si el proceso esta avanzado.</w:t>
      </w:r>
    </w:p>
    <w:p w14:paraId="59A65E7B" w14:textId="77777777" w:rsidR="00EA58FA" w:rsidRPr="00EA58FA" w:rsidRDefault="00EA58FA" w:rsidP="00EA58FA">
      <w:pPr>
        <w:numPr>
          <w:ilvl w:val="0"/>
          <w:numId w:val="18"/>
        </w:numPr>
        <w:spacing w:after="160"/>
        <w:jc w:val="both"/>
        <w:rPr>
          <w:rFonts w:ascii="Arial" w:hAnsi="Arial" w:cs="Arial"/>
          <w:sz w:val="22"/>
          <w:szCs w:val="22"/>
        </w:rPr>
      </w:pPr>
      <w:r w:rsidRPr="00EA58FA">
        <w:rPr>
          <w:rFonts w:ascii="Arial" w:hAnsi="Arial" w:cs="Arial"/>
          <w:sz w:val="22"/>
          <w:szCs w:val="22"/>
        </w:rPr>
        <w:t>Ley procesal nueva con mandato expreso de remisión: cuando la ley ordena expresamente que los procesos en curso se remitan al nuevo juez competente (norma transitoria).</w:t>
      </w:r>
    </w:p>
    <w:p w14:paraId="5E837AE2" w14:textId="77777777" w:rsidR="00EA58FA" w:rsidRPr="00EA58FA" w:rsidRDefault="00EA58FA" w:rsidP="00EA58FA">
      <w:pPr>
        <w:numPr>
          <w:ilvl w:val="0"/>
          <w:numId w:val="18"/>
        </w:numPr>
        <w:spacing w:after="160"/>
        <w:jc w:val="both"/>
        <w:rPr>
          <w:rFonts w:ascii="Arial" w:hAnsi="Arial" w:cs="Arial"/>
          <w:sz w:val="22"/>
          <w:szCs w:val="22"/>
        </w:rPr>
      </w:pPr>
      <w:r w:rsidRPr="00EA58FA">
        <w:rPr>
          <w:rFonts w:ascii="Arial" w:hAnsi="Arial" w:cs="Arial"/>
          <w:sz w:val="22"/>
          <w:szCs w:val="22"/>
        </w:rPr>
        <w:t>Acumulación de pretensiones ANTES del auto admisorio: si el demandante adiciona pretensiones que elevan la cuantia ANTES de que el juez admita la demanda, el juez debe verificar la competencia con la cuantia total.</w:t>
      </w:r>
    </w:p>
    <w:p w14:paraId="750E2703" w14:textId="77777777" w:rsidR="00EA58FA" w:rsidRPr="00EA58FA" w:rsidRDefault="00EA58FA" w:rsidP="00EA58FA">
      <w:pPr>
        <w:jc w:val="both"/>
        <w:rPr>
          <w:rFonts w:ascii="Arial" w:hAnsi="Arial" w:cs="Arial"/>
          <w:sz w:val="22"/>
          <w:szCs w:val="22"/>
        </w:rPr>
      </w:pPr>
      <w:r w:rsidRPr="00EA58FA">
        <w:rPr>
          <w:rFonts w:ascii="Arial" w:hAnsi="Arial" w:cs="Arial"/>
          <w:b/>
          <w:bCs/>
          <w:sz w:val="22"/>
          <w:szCs w:val="22"/>
          <w:u w:val="single"/>
        </w:rPr>
        <w:t>2.7.5 El Reparto: La Distribución Interna entre Jueces del Mismo Nivel</w:t>
      </w:r>
    </w:p>
    <w:p w14:paraId="3AFB820B" w14:textId="77777777" w:rsidR="00EA58FA" w:rsidRPr="00EA58FA" w:rsidRDefault="00EA58FA" w:rsidP="00EA58FA">
      <w:pPr>
        <w:jc w:val="both"/>
        <w:rPr>
          <w:rFonts w:ascii="Arial" w:hAnsi="Arial" w:cs="Arial"/>
          <w:sz w:val="22"/>
          <w:szCs w:val="22"/>
        </w:rPr>
      </w:pPr>
      <w:r w:rsidRPr="00EA58FA">
        <w:rPr>
          <w:rFonts w:ascii="Arial" w:hAnsi="Arial" w:cs="Arial"/>
          <w:sz w:val="22"/>
          <w:szCs w:val="22"/>
        </w:rPr>
        <w:t>En las ciudades donde hay múltiples juzgados civiles del mismo nivel (ej. Bogotá tiene varios juzgados civiles municipales y varios del circuito), el REPARTO es el mecanismo para distribuir equitativamente los procesos entre todos ellos.</w:t>
      </w:r>
    </w:p>
    <w:p w14:paraId="5DB8C5D2" w14:textId="77777777" w:rsidR="00EA58FA" w:rsidRPr="00EA58FA" w:rsidRDefault="00EA58FA" w:rsidP="00EA58FA">
      <w:pPr>
        <w:numPr>
          <w:ilvl w:val="0"/>
          <w:numId w:val="19"/>
        </w:numPr>
        <w:spacing w:after="160"/>
        <w:jc w:val="both"/>
        <w:rPr>
          <w:rFonts w:ascii="Arial" w:hAnsi="Arial" w:cs="Arial"/>
          <w:sz w:val="22"/>
          <w:szCs w:val="22"/>
        </w:rPr>
      </w:pPr>
      <w:r w:rsidRPr="00EA58FA">
        <w:rPr>
          <w:rFonts w:ascii="Arial" w:hAnsi="Arial" w:cs="Arial"/>
          <w:sz w:val="22"/>
          <w:szCs w:val="22"/>
        </w:rPr>
        <w:t>El reparto se realiza de manera aleatoria y automática por el sistema informático del Consejo Superior de la Judicatura.</w:t>
      </w:r>
    </w:p>
    <w:p w14:paraId="148A03BA" w14:textId="77777777" w:rsidR="00EA58FA" w:rsidRPr="00EA58FA" w:rsidRDefault="00EA58FA" w:rsidP="00EA58FA">
      <w:pPr>
        <w:numPr>
          <w:ilvl w:val="0"/>
          <w:numId w:val="19"/>
        </w:numPr>
        <w:spacing w:after="160"/>
        <w:jc w:val="both"/>
        <w:rPr>
          <w:rFonts w:ascii="Arial" w:hAnsi="Arial" w:cs="Arial"/>
          <w:sz w:val="22"/>
          <w:szCs w:val="22"/>
        </w:rPr>
      </w:pPr>
      <w:r w:rsidRPr="00EA58FA">
        <w:rPr>
          <w:rFonts w:ascii="Arial" w:hAnsi="Arial" w:cs="Arial"/>
          <w:sz w:val="22"/>
          <w:szCs w:val="22"/>
        </w:rPr>
        <w:t>En ciudades con un solo juzgado de cada nivel, no hay reparto: todas las demandas van directamente a ese juzgado.</w:t>
      </w:r>
    </w:p>
    <w:p w14:paraId="0DBDA268" w14:textId="77777777" w:rsidR="00EA58FA" w:rsidRPr="00EA58FA" w:rsidRDefault="00EA58FA" w:rsidP="00EA58FA">
      <w:pPr>
        <w:numPr>
          <w:ilvl w:val="0"/>
          <w:numId w:val="19"/>
        </w:numPr>
        <w:spacing w:after="160"/>
        <w:jc w:val="both"/>
        <w:rPr>
          <w:rFonts w:ascii="Arial" w:hAnsi="Arial" w:cs="Arial"/>
          <w:sz w:val="22"/>
          <w:szCs w:val="22"/>
        </w:rPr>
      </w:pPr>
      <w:r w:rsidRPr="00EA58FA">
        <w:rPr>
          <w:rFonts w:ascii="Arial" w:hAnsi="Arial" w:cs="Arial"/>
          <w:sz w:val="22"/>
          <w:szCs w:val="22"/>
        </w:rPr>
        <w:t>El reparto es obligatorio. Presentar la demanda directamente ante un juez especifico, 'saltándose' el reparto, es irregularidad que puede llevar al rechazo de la demanda.</w:t>
      </w:r>
    </w:p>
    <w:p w14:paraId="6469321E" w14:textId="77777777" w:rsidR="00012688" w:rsidRPr="00EA58FA" w:rsidRDefault="00012688" w:rsidP="00EA58FA">
      <w:pPr>
        <w:jc w:val="both"/>
        <w:rPr>
          <w:rFonts w:ascii="Arial" w:hAnsi="Arial" w:cs="Arial"/>
        </w:rPr>
      </w:pPr>
    </w:p>
    <w:sectPr w:rsidR="00012688" w:rsidRPr="00EA58FA">
      <w:headerReference w:type="default" r:id="rId7"/>
      <w:footerReference w:type="default" r:id="rId8"/>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B0F79A" w14:textId="77777777" w:rsidR="007147CB" w:rsidRDefault="007147CB">
      <w:r>
        <w:separator/>
      </w:r>
    </w:p>
  </w:endnote>
  <w:endnote w:type="continuationSeparator" w:id="0">
    <w:p w14:paraId="789970DF" w14:textId="77777777" w:rsidR="007147CB" w:rsidRDefault="007147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2EF04E42-D051-422A-8C65-DD5F70FA9A9C}"/>
    <w:embedBold r:id="rId2" w:fontKey="{FAD3A119-7ABB-43D3-9C27-50BCA3D0BFF3}"/>
    <w:embedItalic r:id="rId3" w:fontKey="{B7DA656C-69B6-4534-9EA7-377161FE63DF}"/>
    <w:embedBoldItalic r:id="rId4" w:fontKey="{75B19C64-4301-4C8C-B362-31A0CDC3B062}"/>
  </w:font>
  <w:font w:name="Georgia">
    <w:panose1 w:val="02040502050405020303"/>
    <w:charset w:val="00"/>
    <w:family w:val="roman"/>
    <w:pitch w:val="variable"/>
    <w:sig w:usb0="00000287" w:usb1="00000000" w:usb2="00000000" w:usb3="00000000" w:csb0="0000009F" w:csb1="00000000"/>
    <w:embedItalic r:id="rId5" w:fontKey="{85508F00-372C-4065-AAA0-6F0AE62D1C19}"/>
  </w:font>
  <w:font w:name="Arial">
    <w:panose1 w:val="020B0604020202020204"/>
    <w:charset w:val="00"/>
    <w:family w:val="swiss"/>
    <w:pitch w:val="variable"/>
    <w:sig w:usb0="E0002EFF" w:usb1="C000785B" w:usb2="00000009" w:usb3="00000000" w:csb0="000001FF" w:csb1="00000000"/>
  </w:font>
  <w:font w:name="Poppins ExtraLight">
    <w:charset w:val="00"/>
    <w:family w:val="auto"/>
    <w:pitch w:val="variable"/>
    <w:sig w:usb0="00008007" w:usb1="00000000" w:usb2="00000000" w:usb3="00000000" w:csb0="00000093" w:csb1="00000000"/>
    <w:embedRegular r:id="rId6" w:fontKey="{CD3C2E53-E4F0-4B64-8106-3F646C6AC3CE}"/>
  </w:font>
  <w:font w:name="Cambria">
    <w:panose1 w:val="02040503050406030204"/>
    <w:charset w:val="00"/>
    <w:family w:val="roman"/>
    <w:pitch w:val="variable"/>
    <w:sig w:usb0="E00006FF" w:usb1="420024FF" w:usb2="02000000" w:usb3="00000000" w:csb0="0000019F" w:csb1="00000000"/>
    <w:embedRegular r:id="rId7" w:fontKey="{62D2E9BF-1A59-4240-8A63-1BF377BED04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60658" w14:textId="77777777" w:rsidR="00012688" w:rsidRDefault="00000000">
    <w:pPr>
      <w:pBdr>
        <w:top w:val="nil"/>
        <w:left w:val="nil"/>
        <w:bottom w:val="nil"/>
        <w:right w:val="nil"/>
        <w:between w:val="nil"/>
      </w:pBdr>
      <w:tabs>
        <w:tab w:val="center" w:pos="4419"/>
        <w:tab w:val="right" w:pos="8838"/>
      </w:tabs>
      <w:jc w:val="center"/>
      <w:rPr>
        <w:rFonts w:ascii="Poppins ExtraLight" w:eastAsia="Poppins ExtraLight" w:hAnsi="Poppins ExtraLight" w:cs="Poppins ExtraLight"/>
        <w:color w:val="B7B7B7"/>
      </w:rPr>
    </w:pPr>
    <w:r>
      <w:rPr>
        <w:noProof/>
      </w:rPr>
      <mc:AlternateContent>
        <mc:Choice Requires="wpg">
          <w:drawing>
            <wp:inline distT="114300" distB="114300" distL="114300" distR="114300" wp14:anchorId="32933D76" wp14:editId="55A9953C">
              <wp:extent cx="5612130" cy="12700"/>
              <wp:effectExtent l="0" t="0" r="0" b="0"/>
              <wp:docPr id="3" name="Conector recto de flecha 3"/>
              <wp:cNvGraphicFramePr/>
              <a:graphic xmlns:a="http://schemas.openxmlformats.org/drawingml/2006/main">
                <a:graphicData uri="http://schemas.microsoft.com/office/word/2010/wordprocessingShape">
                  <wps:wsp>
                    <wps:cNvCnPr/>
                    <wps:spPr>
                      <a:xfrm>
                        <a:off x="0" y="3780000"/>
                        <a:ext cx="10692000" cy="0"/>
                      </a:xfrm>
                      <a:prstGeom prst="straightConnector1">
                        <a:avLst/>
                      </a:prstGeom>
                      <a:noFill/>
                      <a:ln w="9525" cap="flat" cmpd="sng">
                        <a:solidFill>
                          <a:srgbClr val="BF9000"/>
                        </a:solidFill>
                        <a:prstDash val="solid"/>
                        <a:round/>
                        <a:headEnd type="none" w="sm" len="sm"/>
                        <a:tailEnd type="none" w="sm" len="sm"/>
                      </a:ln>
                    </wps:spPr>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5612130" cy="12700"/>
              <wp:effectExtent b="0" l="0" r="0" t="0"/>
              <wp:docPr id="3"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5612130" cy="12700"/>
                      </a:xfrm>
                      <a:prstGeom prst="rect"/>
                      <a:ln/>
                    </pic:spPr>
                  </pic:pic>
                </a:graphicData>
              </a:graphic>
            </wp:inline>
          </w:drawing>
        </mc:Fallback>
      </mc:AlternateContent>
    </w:r>
    <w:r>
      <w:rPr>
        <w:rFonts w:ascii="Poppins ExtraLight" w:eastAsia="Poppins ExtraLight" w:hAnsi="Poppins ExtraLight" w:cs="Poppins ExtraLight"/>
        <w:color w:val="B7B7B7"/>
      </w:rPr>
      <w:t xml:space="preserve">w </w:t>
    </w:r>
    <w:proofErr w:type="spellStart"/>
    <w:r>
      <w:rPr>
        <w:rFonts w:ascii="Poppins ExtraLight" w:eastAsia="Poppins ExtraLight" w:hAnsi="Poppins ExtraLight" w:cs="Poppins ExtraLight"/>
        <w:color w:val="B7B7B7"/>
      </w:rPr>
      <w:t>w</w:t>
    </w:r>
    <w:proofErr w:type="spellEnd"/>
    <w:r>
      <w:rPr>
        <w:rFonts w:ascii="Poppins ExtraLight" w:eastAsia="Poppins ExtraLight" w:hAnsi="Poppins ExtraLight" w:cs="Poppins ExtraLight"/>
        <w:color w:val="B7B7B7"/>
      </w:rPr>
      <w:t xml:space="preserve"> </w:t>
    </w:r>
    <w:proofErr w:type="spellStart"/>
    <w:r>
      <w:rPr>
        <w:rFonts w:ascii="Poppins ExtraLight" w:eastAsia="Poppins ExtraLight" w:hAnsi="Poppins ExtraLight" w:cs="Poppins ExtraLight"/>
        <w:color w:val="B7B7B7"/>
      </w:rPr>
      <w:t>w</w:t>
    </w:r>
    <w:proofErr w:type="spellEnd"/>
    <w:r>
      <w:rPr>
        <w:rFonts w:ascii="Poppins ExtraLight" w:eastAsia="Poppins ExtraLight" w:hAnsi="Poppins ExtraLight" w:cs="Poppins ExtraLight"/>
        <w:color w:val="B7B7B7"/>
      </w:rPr>
      <w:t xml:space="preserve"> . n e o u p r o . c o m</w:t>
    </w:r>
    <w:r>
      <w:rPr>
        <w:noProof/>
      </w:rPr>
      <mc:AlternateContent>
        <mc:Choice Requires="wpg">
          <w:drawing>
            <wp:anchor distT="0" distB="0" distL="114300" distR="114300" simplePos="0" relativeHeight="251658240" behindDoc="0" locked="0" layoutInCell="1" hidden="0" allowOverlap="1" wp14:anchorId="65CEEF91" wp14:editId="4EC98689">
              <wp:simplePos x="0" y="0"/>
              <wp:positionH relativeFrom="column">
                <wp:posOffset>-786888</wp:posOffset>
              </wp:positionH>
              <wp:positionV relativeFrom="paragraph">
                <wp:posOffset>-177034</wp:posOffset>
              </wp:positionV>
              <wp:extent cx="12700" cy="12700"/>
              <wp:effectExtent l="0" t="0" r="0" b="0"/>
              <wp:wrapNone/>
              <wp:docPr id="4" name="Conector recto de flecha 4"/>
              <wp:cNvGraphicFramePr/>
              <a:graphic xmlns:a="http://schemas.openxmlformats.org/drawingml/2006/main">
                <a:graphicData uri="http://schemas.microsoft.com/office/word/2010/wordprocessingShape">
                  <wps:wsp>
                    <wps:cNvCnPr/>
                    <wps:spPr>
                      <a:xfrm>
                        <a:off x="1742038" y="3780000"/>
                        <a:ext cx="7207924" cy="0"/>
                      </a:xfrm>
                      <a:prstGeom prst="straightConnector1">
                        <a:avLst/>
                      </a:prstGeom>
                      <a:noFill/>
                      <a:ln w="9525" cap="flat" cmpd="sng">
                        <a:solidFill>
                          <a:srgbClr val="C7A95E"/>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-786888</wp:posOffset>
              </wp:positionH>
              <wp:positionV relativeFrom="paragraph">
                <wp:posOffset>-177034</wp:posOffset>
              </wp:positionV>
              <wp:extent cx="12700" cy="12700"/>
              <wp:effectExtent b="0" l="0" r="0" t="0"/>
              <wp:wrapNone/>
              <wp:docPr id="4"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B776F6" w14:textId="77777777" w:rsidR="007147CB" w:rsidRDefault="007147CB">
      <w:r>
        <w:separator/>
      </w:r>
    </w:p>
  </w:footnote>
  <w:footnote w:type="continuationSeparator" w:id="0">
    <w:p w14:paraId="49043B22" w14:textId="77777777" w:rsidR="007147CB" w:rsidRDefault="007147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F446DB" w14:textId="77777777" w:rsidR="00012688" w:rsidRDefault="00000000">
    <w:pPr>
      <w:pBdr>
        <w:top w:val="nil"/>
        <w:left w:val="nil"/>
        <w:bottom w:val="nil"/>
        <w:right w:val="nil"/>
        <w:between w:val="nil"/>
      </w:pBdr>
      <w:tabs>
        <w:tab w:val="center" w:pos="4419"/>
        <w:tab w:val="right" w:pos="8838"/>
        <w:tab w:val="center" w:pos="3731"/>
      </w:tabs>
      <w:rPr>
        <w:color w:val="000000"/>
      </w:rPr>
    </w:pPr>
    <w:r>
      <w:rPr>
        <w:noProof/>
      </w:rPr>
      <w:drawing>
        <wp:anchor distT="0" distB="0" distL="114300" distR="114300" simplePos="0" relativeHeight="251656192" behindDoc="0" locked="0" layoutInCell="1" hidden="0" allowOverlap="1" wp14:anchorId="7D7A1ED4" wp14:editId="50FDA2E6">
          <wp:simplePos x="0" y="0"/>
          <wp:positionH relativeFrom="page">
            <wp:posOffset>1080135</wp:posOffset>
          </wp:positionH>
          <wp:positionV relativeFrom="page">
            <wp:posOffset>404495</wp:posOffset>
          </wp:positionV>
          <wp:extent cx="1228725" cy="499745"/>
          <wp:effectExtent l="0" t="0" r="0" b="0"/>
          <wp:wrapSquare wrapText="bothSides" distT="0" distB="0" distL="114300" distR="114300"/>
          <wp:docPr id="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
                  <a:srcRect t="30430" b="28772"/>
                  <a:stretch>
                    <a:fillRect/>
                  </a:stretch>
                </pic:blipFill>
                <pic:spPr>
                  <a:xfrm>
                    <a:off x="0" y="0"/>
                    <a:ext cx="1228725" cy="499745"/>
                  </a:xfrm>
                  <a:prstGeom prst="rect">
                    <a:avLst/>
                  </a:prstGeom>
                  <a:ln/>
                </pic:spPr>
              </pic:pic>
            </a:graphicData>
          </a:graphic>
        </wp:anchor>
      </w:drawing>
    </w:r>
    <w:r>
      <w:pict w14:anchorId="2D5F43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5" type="#_x0000_t75" alt="" style="position:absolute;margin-left:0;margin-top:0;width:441.9pt;height:441.9pt;z-index:-251657216;mso-position-horizontal:center;mso-position-horizontal-relative:margin;mso-position-vertical:center;mso-position-vertical-relative:margin">
          <v:imagedata r:id="rId2" o:title="image3" gain="19661f" blacklevel="22938f"/>
          <w10:wrap anchorx="margin" anchory="margin"/>
        </v:shape>
      </w:pict>
    </w:r>
    <w:r>
      <w:rPr>
        <w:color w:val="000000"/>
      </w:rPr>
      <w:tab/>
    </w:r>
    <w:r>
      <w:rPr>
        <w:noProof/>
      </w:rPr>
      <mc:AlternateContent>
        <mc:Choice Requires="wpg">
          <w:drawing>
            <wp:anchor distT="0" distB="0" distL="114300" distR="114300" simplePos="0" relativeHeight="251657216" behindDoc="0" locked="0" layoutInCell="1" hidden="0" allowOverlap="1" wp14:anchorId="3AA869FB" wp14:editId="69F68D2F">
              <wp:simplePos x="0" y="0"/>
              <wp:positionH relativeFrom="column">
                <wp:posOffset>-621280</wp:posOffset>
              </wp:positionH>
              <wp:positionV relativeFrom="paragraph">
                <wp:posOffset>560832</wp:posOffset>
              </wp:positionV>
              <wp:extent cx="12700" cy="12700"/>
              <wp:effectExtent l="0" t="0" r="0" b="0"/>
              <wp:wrapNone/>
              <wp:docPr id="2" name="Conector recto de flecha 2"/>
              <wp:cNvGraphicFramePr/>
              <a:graphic xmlns:a="http://schemas.openxmlformats.org/drawingml/2006/main">
                <a:graphicData uri="http://schemas.microsoft.com/office/word/2010/wordprocessingShape">
                  <wps:wsp>
                    <wps:cNvCnPr/>
                    <wps:spPr>
                      <a:xfrm>
                        <a:off x="1742038" y="3780000"/>
                        <a:ext cx="7207924" cy="0"/>
                      </a:xfrm>
                      <a:prstGeom prst="straightConnector1">
                        <a:avLst/>
                      </a:prstGeom>
                      <a:noFill/>
                      <a:ln w="9525" cap="flat" cmpd="sng">
                        <a:solidFill>
                          <a:srgbClr val="C7A95E"/>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-621280</wp:posOffset>
              </wp:positionH>
              <wp:positionV relativeFrom="paragraph">
                <wp:posOffset>560832</wp:posOffset>
              </wp:positionV>
              <wp:extent cx="12700" cy="12700"/>
              <wp:effectExtent b="0" l="0" r="0" t="0"/>
              <wp:wrapNone/>
              <wp:docPr id="2" name="image2.png"/>
              <a:graphic>
                <a:graphicData uri="http://schemas.openxmlformats.org/drawingml/2006/picture">
                  <pic:pic>
                    <pic:nvPicPr>
                      <pic:cNvPr id="0" name="image2.png"/>
                      <pic:cNvPicPr preferRelativeResize="0"/>
                    </pic:nvPicPr>
                    <pic:blipFill>
                      <a:blip r:embed="rId3"/>
                      <a:srcRect/>
                      <a:stretch>
                        <a:fillRect/>
                      </a:stretch>
                    </pic:blipFill>
                    <pic:spPr>
                      <a:xfrm>
                        <a:off x="0" y="0"/>
                        <a:ext cx="12700" cy="12700"/>
                      </a:xfrm>
                      <a:prstGeom prst="rect"/>
                      <a:ln/>
                    </pic:spPr>
                  </pic:pic>
                </a:graphicData>
              </a:graphic>
            </wp:anchor>
          </w:drawing>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4C2900"/>
    <w:multiLevelType w:val="multilevel"/>
    <w:tmpl w:val="443E4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7276857"/>
    <w:multiLevelType w:val="multilevel"/>
    <w:tmpl w:val="1FDA31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FC632F8"/>
    <w:multiLevelType w:val="multilevel"/>
    <w:tmpl w:val="3A46E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FE429F8"/>
    <w:multiLevelType w:val="multilevel"/>
    <w:tmpl w:val="B0CE64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0BC7A5D"/>
    <w:multiLevelType w:val="multilevel"/>
    <w:tmpl w:val="0F2A27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A59563D"/>
    <w:multiLevelType w:val="multilevel"/>
    <w:tmpl w:val="67EEA9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0416688"/>
    <w:multiLevelType w:val="multilevel"/>
    <w:tmpl w:val="9AF07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23E0863"/>
    <w:multiLevelType w:val="multilevel"/>
    <w:tmpl w:val="BAC467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2EB771B"/>
    <w:multiLevelType w:val="multilevel"/>
    <w:tmpl w:val="35EC0B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7DB5299"/>
    <w:multiLevelType w:val="multilevel"/>
    <w:tmpl w:val="E028FE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D6A1DCD"/>
    <w:multiLevelType w:val="multilevel"/>
    <w:tmpl w:val="D24A0F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D725EE4"/>
    <w:multiLevelType w:val="multilevel"/>
    <w:tmpl w:val="1422C7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614074B"/>
    <w:multiLevelType w:val="multilevel"/>
    <w:tmpl w:val="FC18D4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5E13AE3"/>
    <w:multiLevelType w:val="multilevel"/>
    <w:tmpl w:val="B9A21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90A6434"/>
    <w:multiLevelType w:val="multilevel"/>
    <w:tmpl w:val="C39846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FC237AD"/>
    <w:multiLevelType w:val="multilevel"/>
    <w:tmpl w:val="4DF880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2417ABF"/>
    <w:multiLevelType w:val="multilevel"/>
    <w:tmpl w:val="6B586C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96B5279"/>
    <w:multiLevelType w:val="multilevel"/>
    <w:tmpl w:val="82BCE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C2F73FD"/>
    <w:multiLevelType w:val="multilevel"/>
    <w:tmpl w:val="2362A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51413056">
    <w:abstractNumId w:val="12"/>
  </w:num>
  <w:num w:numId="2" w16cid:durableId="440540382">
    <w:abstractNumId w:val="13"/>
  </w:num>
  <w:num w:numId="3" w16cid:durableId="925724386">
    <w:abstractNumId w:val="8"/>
  </w:num>
  <w:num w:numId="4" w16cid:durableId="1070425934">
    <w:abstractNumId w:val="3"/>
  </w:num>
  <w:num w:numId="5" w16cid:durableId="1258909092">
    <w:abstractNumId w:val="0"/>
  </w:num>
  <w:num w:numId="6" w16cid:durableId="440345130">
    <w:abstractNumId w:val="10"/>
  </w:num>
  <w:num w:numId="7" w16cid:durableId="351304037">
    <w:abstractNumId w:val="18"/>
  </w:num>
  <w:num w:numId="8" w16cid:durableId="2137095679">
    <w:abstractNumId w:val="4"/>
  </w:num>
  <w:num w:numId="9" w16cid:durableId="473640143">
    <w:abstractNumId w:val="14"/>
  </w:num>
  <w:num w:numId="10" w16cid:durableId="751506998">
    <w:abstractNumId w:val="16"/>
  </w:num>
  <w:num w:numId="11" w16cid:durableId="117916955">
    <w:abstractNumId w:val="6"/>
  </w:num>
  <w:num w:numId="12" w16cid:durableId="2116903100">
    <w:abstractNumId w:val="15"/>
  </w:num>
  <w:num w:numId="13" w16cid:durableId="532695029">
    <w:abstractNumId w:val="2"/>
  </w:num>
  <w:num w:numId="14" w16cid:durableId="148836062">
    <w:abstractNumId w:val="7"/>
  </w:num>
  <w:num w:numId="15" w16cid:durableId="409431383">
    <w:abstractNumId w:val="1"/>
  </w:num>
  <w:num w:numId="16" w16cid:durableId="1278099502">
    <w:abstractNumId w:val="17"/>
  </w:num>
  <w:num w:numId="17" w16cid:durableId="1365789249">
    <w:abstractNumId w:val="9"/>
  </w:num>
  <w:num w:numId="18" w16cid:durableId="1209605149">
    <w:abstractNumId w:val="11"/>
  </w:num>
  <w:num w:numId="19" w16cid:durableId="75243868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2688"/>
    <w:rsid w:val="00012688"/>
    <w:rsid w:val="00050678"/>
    <w:rsid w:val="002E3E10"/>
    <w:rsid w:val="00483C86"/>
    <w:rsid w:val="007147CB"/>
    <w:rsid w:val="00D949FA"/>
    <w:rsid w:val="00EA58F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BE8641"/>
  <w15:docId w15:val="{831EB0B0-9437-4DE9-859D-A1EEF620CF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0.png"/></Relationships>
</file>

<file path=word/_rels/header1.xml.rels><?xml version="1.0" encoding="UTF-8" standalone="yes"?>
<Relationships xmlns="http://schemas.openxmlformats.org/package/2006/relationships"><Relationship Id="rId3" Type="http://schemas.openxmlformats.org/officeDocument/2006/relationships/image" Target="media/image20.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11</Pages>
  <Words>4018</Words>
  <Characters>22105</Characters>
  <Application>Microsoft Office Word</Application>
  <DocSecurity>0</DocSecurity>
  <Lines>184</Lines>
  <Paragraphs>52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26071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Jacky</dc:creator>
  <cp:lastModifiedBy>Jackeline Betancourt Ch</cp:lastModifiedBy>
  <cp:revision>2</cp:revision>
  <dcterms:created xsi:type="dcterms:W3CDTF">2026-03-16T01:04:00Z</dcterms:created>
  <dcterms:modified xsi:type="dcterms:W3CDTF">2026-03-16T01:04:00Z</dcterms:modified>
</cp:coreProperties>
</file>